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Default="003E6A45">
      <w:r>
        <w:t xml:space="preserve">Meeting to be held on </w:t>
      </w:r>
      <w:r w:rsidR="007E2391">
        <w:t>29 November</w:t>
      </w:r>
      <w:r w:rsidR="009938EC">
        <w:t xml:space="preserve"> </w:t>
      </w:r>
      <w:r w:rsidR="00DE2FD1">
        <w:t>201</w:t>
      </w:r>
      <w:r w:rsidR="004C3B78">
        <w:t>3</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874897" w:rsidTr="00874897">
        <w:tc>
          <w:tcPr>
            <w:tcW w:w="3260" w:type="dxa"/>
          </w:tcPr>
          <w:p w:rsidR="00874897" w:rsidRDefault="00874897" w:rsidP="00874897">
            <w:pPr>
              <w:pStyle w:val="BodyText"/>
            </w:pPr>
            <w:r>
              <w:t>Electoral Division affected:</w:t>
            </w:r>
          </w:p>
          <w:p w:rsidR="00874897" w:rsidRDefault="00874897" w:rsidP="00874897">
            <w:pPr>
              <w:rPr>
                <w:u w:val="single"/>
              </w:rPr>
            </w:pPr>
            <w:r>
              <w:t>'All'</w:t>
            </w:r>
          </w:p>
        </w:tc>
      </w:tr>
    </w:tbl>
    <w:p w:rsidR="003E6A45" w:rsidRDefault="003E6A45"/>
    <w:p w:rsidR="003E6A45" w:rsidRDefault="003E6A45">
      <w:pPr>
        <w:rPr>
          <w:u w:val="single"/>
        </w:rPr>
      </w:pPr>
    </w:p>
    <w:p w:rsidR="00FF6BCC" w:rsidRDefault="00FF6BCC">
      <w:pPr>
        <w:rPr>
          <w:b/>
        </w:rPr>
      </w:pPr>
    </w:p>
    <w:p w:rsidR="003E6A45" w:rsidRDefault="004F2CD8">
      <w:pPr>
        <w:rPr>
          <w:b/>
        </w:rPr>
      </w:pPr>
      <w:r>
        <w:rPr>
          <w:b/>
        </w:rPr>
        <w:t>Shareholder Voting</w:t>
      </w:r>
      <w:r w:rsidR="00FF6BCC">
        <w:rPr>
          <w:b/>
        </w:rPr>
        <w:t xml:space="preserve">, </w:t>
      </w:r>
      <w:r w:rsidR="00EB067F">
        <w:rPr>
          <w:b/>
        </w:rPr>
        <w:t>Engagement</w:t>
      </w:r>
      <w:r w:rsidR="00FF6BCC">
        <w:rPr>
          <w:b/>
        </w:rPr>
        <w:t>, and Fiduciary Duty</w:t>
      </w:r>
    </w:p>
    <w:p w:rsidR="008A5E88" w:rsidRDefault="00BE189C" w:rsidP="00BE189C">
      <w:pPr>
        <w:ind w:left="709" w:hanging="709"/>
      </w:pPr>
      <w:r>
        <w:t>(Appendi</w:t>
      </w:r>
      <w:r w:rsidR="00B80294">
        <w:t>ces</w:t>
      </w:r>
      <w:r>
        <w:t xml:space="preserve"> </w:t>
      </w:r>
      <w:r w:rsidR="00B80294">
        <w:t>'</w:t>
      </w:r>
      <w:r>
        <w:t>A</w:t>
      </w:r>
      <w:r w:rsidR="00B80294">
        <w:t>'</w:t>
      </w:r>
      <w:r w:rsidR="00F73415">
        <w:t xml:space="preserve"> </w:t>
      </w:r>
      <w:r w:rsidR="00B80294">
        <w:t xml:space="preserve">and 'B' </w:t>
      </w:r>
      <w:r>
        <w:t>refer)</w:t>
      </w:r>
    </w:p>
    <w:p w:rsidR="003E6A45" w:rsidRDefault="003E6A45"/>
    <w:p w:rsidR="003E6A45" w:rsidRDefault="003E6A45" w:rsidP="0016285E">
      <w:pPr>
        <w:tabs>
          <w:tab w:val="center" w:pos="4513"/>
        </w:tabs>
      </w:pPr>
      <w:r>
        <w:t>Contact for further information:</w:t>
      </w:r>
      <w:r w:rsidR="0016285E">
        <w:tab/>
      </w:r>
    </w:p>
    <w:p w:rsidR="003E6A45" w:rsidRDefault="006C77D5">
      <w:r>
        <w:t>Andrew Fox</w:t>
      </w:r>
      <w:r w:rsidR="003E6A45">
        <w:t xml:space="preserve">, </w:t>
      </w:r>
      <w:r w:rsidR="00BE189C">
        <w:t xml:space="preserve">(01772) </w:t>
      </w:r>
      <w:r w:rsidR="003103B6">
        <w:t>53</w:t>
      </w:r>
      <w:r>
        <w:t>5916</w:t>
      </w:r>
      <w:r w:rsidR="003E6A45">
        <w:t xml:space="preserve">, </w:t>
      </w:r>
      <w:r w:rsidR="00BE189C">
        <w:t>County Treasurer</w:t>
      </w:r>
      <w:r w:rsidR="00F134C5">
        <w:t>'</w:t>
      </w:r>
      <w:r w:rsidR="00BE189C">
        <w:t>s D</w:t>
      </w:r>
      <w:r w:rsidR="00F134C5">
        <w:t>irectorate</w:t>
      </w:r>
      <w:r w:rsidR="00772BBA">
        <w:t xml:space="preserve">, </w:t>
      </w:r>
    </w:p>
    <w:p w:rsidR="00772BBA" w:rsidRDefault="006C77D5">
      <w:r>
        <w:t>Andrew.fox@lancashire.gov.uk</w:t>
      </w:r>
    </w:p>
    <w:p w:rsidR="003E6A45"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1"/>
      </w:tblGrid>
      <w:tr w:rsidR="003E6A45" w:rsidRPr="00F469CD" w:rsidTr="00C82111">
        <w:trPr>
          <w:trHeight w:val="4820"/>
        </w:trPr>
        <w:tc>
          <w:tcPr>
            <w:tcW w:w="9041" w:type="dxa"/>
          </w:tcPr>
          <w:p w:rsidR="003E6A45" w:rsidRPr="00F469CD" w:rsidRDefault="003E6A45" w:rsidP="00F915F7">
            <w:pPr>
              <w:pStyle w:val="Heading6"/>
              <w:spacing w:after="120"/>
              <w:rPr>
                <w:rFonts w:ascii="Arial" w:hAnsi="Arial"/>
              </w:rPr>
            </w:pPr>
            <w:r w:rsidRPr="00F469CD">
              <w:rPr>
                <w:rFonts w:ascii="Arial" w:hAnsi="Arial"/>
              </w:rPr>
              <w:t>Executive Summary</w:t>
            </w:r>
          </w:p>
          <w:p w:rsidR="00DB147E" w:rsidRPr="00896DF9" w:rsidRDefault="00DB147E" w:rsidP="00DB2EDD">
            <w:r w:rsidRPr="00896DF9">
              <w:t>In accordance with its policies on promoting corporate social responsibility in the businesses in which it invest the Fund works through P</w:t>
            </w:r>
            <w:r w:rsidR="0039419E" w:rsidRPr="00896DF9">
              <w:t xml:space="preserve">ensions and </w:t>
            </w:r>
            <w:r w:rsidRPr="00896DF9">
              <w:t>I</w:t>
            </w:r>
            <w:r w:rsidR="0039419E" w:rsidRPr="00896DF9">
              <w:t xml:space="preserve">nvestment </w:t>
            </w:r>
            <w:r w:rsidRPr="00896DF9">
              <w:t>R</w:t>
            </w:r>
            <w:r w:rsidR="0039419E" w:rsidRPr="00896DF9">
              <w:t xml:space="preserve">esearch </w:t>
            </w:r>
            <w:r w:rsidRPr="00896DF9">
              <w:t>C</w:t>
            </w:r>
            <w:r w:rsidR="0039419E" w:rsidRPr="00896DF9">
              <w:t>onsultants Ltd (PIRC)</w:t>
            </w:r>
            <w:r w:rsidRPr="00896DF9">
              <w:t xml:space="preserve"> as its Governance Adviser and the Local Authority Pension Fund Forum (LAPFF) to both ensure that shares are voted in accordance with sound governance principles and influence companies' behaviour.</w:t>
            </w:r>
          </w:p>
          <w:p w:rsidR="00DB147E" w:rsidRPr="00896DF9" w:rsidRDefault="00DB147E" w:rsidP="00DB2EDD"/>
          <w:p w:rsidR="006E5686" w:rsidRPr="00896DF9" w:rsidRDefault="00DB147E" w:rsidP="00DB2EDD">
            <w:r w:rsidRPr="00896DF9">
              <w:t>This report provides the latest quarterly update for the Committee on the work undertaken on the Fund's behalf by PIRC and the engagement activity undertaken by LAPFF.</w:t>
            </w:r>
            <w:r w:rsidR="00C85D7C" w:rsidRPr="00896DF9">
              <w:t xml:space="preserve"> </w:t>
            </w:r>
          </w:p>
          <w:p w:rsidR="006E5686" w:rsidRPr="00896DF9" w:rsidRDefault="006E5686" w:rsidP="00DB2EDD"/>
          <w:p w:rsidR="00EB067F" w:rsidRPr="007A53CF" w:rsidRDefault="006E5686" w:rsidP="00DB2EDD">
            <w:r w:rsidRPr="007A53CF">
              <w:t>The attached report</w:t>
            </w:r>
            <w:r w:rsidR="00C9157B" w:rsidRPr="007A53CF">
              <w:t xml:space="preserve"> </w:t>
            </w:r>
            <w:r w:rsidR="00B80294" w:rsidRPr="007A53CF">
              <w:t xml:space="preserve">from </w:t>
            </w:r>
            <w:proofErr w:type="spellStart"/>
            <w:r w:rsidR="00B80294" w:rsidRPr="007A53CF">
              <w:t>PIRC</w:t>
            </w:r>
            <w:proofErr w:type="spellEnd"/>
            <w:r w:rsidR="00B80294" w:rsidRPr="007A53CF">
              <w:t xml:space="preserve"> </w:t>
            </w:r>
            <w:r w:rsidRPr="007A53CF">
              <w:t>(Appendi</w:t>
            </w:r>
            <w:r w:rsidR="00C9157B" w:rsidRPr="007A53CF">
              <w:t>x</w:t>
            </w:r>
            <w:r w:rsidR="00FA34CE" w:rsidRPr="007A53CF">
              <w:t xml:space="preserve"> </w:t>
            </w:r>
            <w:r w:rsidR="000678C1">
              <w:t>'</w:t>
            </w:r>
            <w:r w:rsidR="00FA34CE" w:rsidRPr="007A53CF">
              <w:t>A</w:t>
            </w:r>
            <w:r w:rsidR="000678C1">
              <w:t>'</w:t>
            </w:r>
            <w:r w:rsidR="00C9157B" w:rsidRPr="007A53CF">
              <w:t>)</w:t>
            </w:r>
            <w:r w:rsidRPr="007A53CF">
              <w:t xml:space="preserve"> cover</w:t>
            </w:r>
            <w:r w:rsidR="00C9157B" w:rsidRPr="007A53CF">
              <w:t>s</w:t>
            </w:r>
            <w:r w:rsidRPr="007A53CF">
              <w:t xml:space="preserve"> the period </w:t>
            </w:r>
            <w:r w:rsidR="000A44A3" w:rsidRPr="007A53CF">
              <w:t>1</w:t>
            </w:r>
            <w:r w:rsidR="004C3B78" w:rsidRPr="007A53CF">
              <w:t xml:space="preserve"> </w:t>
            </w:r>
            <w:r w:rsidR="00896DF9" w:rsidRPr="007A53CF">
              <w:t>July</w:t>
            </w:r>
            <w:r w:rsidR="0058415B" w:rsidRPr="007A53CF">
              <w:t xml:space="preserve"> </w:t>
            </w:r>
            <w:r w:rsidR="000A44A3" w:rsidRPr="007A53CF">
              <w:t>to 3</w:t>
            </w:r>
            <w:r w:rsidR="0058415B" w:rsidRPr="007A53CF">
              <w:t xml:space="preserve">0 </w:t>
            </w:r>
            <w:r w:rsidR="00896DF9" w:rsidRPr="007A53CF">
              <w:t>September</w:t>
            </w:r>
            <w:r w:rsidR="009938EC" w:rsidRPr="007A53CF">
              <w:t xml:space="preserve"> </w:t>
            </w:r>
            <w:r w:rsidR="00C9157B" w:rsidRPr="007A53CF">
              <w:t>201</w:t>
            </w:r>
            <w:r w:rsidR="009938EC" w:rsidRPr="007A53CF">
              <w:t>3</w:t>
            </w:r>
            <w:r w:rsidRPr="007A53CF">
              <w:t xml:space="preserve">.  The Fund has voted on </w:t>
            </w:r>
            <w:r w:rsidR="007A53CF" w:rsidRPr="007A53CF">
              <w:t>392</w:t>
            </w:r>
            <w:r w:rsidRPr="007A53CF">
              <w:t xml:space="preserve"> occasions and has opposed or abstained in </w:t>
            </w:r>
            <w:r w:rsidR="007A53CF" w:rsidRPr="007A53CF">
              <w:t>36</w:t>
            </w:r>
            <w:r w:rsidRPr="007A53CF">
              <w:t>% of votes.  PIRC recommends not supporting resolutions where it does not believe best governance practice is being applied</w:t>
            </w:r>
            <w:r w:rsidR="007C7EE2" w:rsidRPr="007A53CF">
              <w:t>.  PIRC’s focus has been on promoting independent representation on company boards, separating the roles of CEO and Chairman and ensuring remuneration proposals are aligned with shareholders’ interests.</w:t>
            </w:r>
          </w:p>
          <w:p w:rsidR="00EB067F" w:rsidRPr="007A53CF" w:rsidRDefault="00EB067F" w:rsidP="00DB2EDD"/>
          <w:p w:rsidR="00B80294" w:rsidRPr="00896DF9" w:rsidRDefault="00EB067F" w:rsidP="00DB2EDD">
            <w:r w:rsidRPr="00896DF9">
              <w:t xml:space="preserve">The attached engagement report from </w:t>
            </w:r>
            <w:proofErr w:type="spellStart"/>
            <w:r w:rsidRPr="00896DF9">
              <w:t>LAPFF</w:t>
            </w:r>
            <w:proofErr w:type="spellEnd"/>
            <w:r w:rsidRPr="00896DF9">
              <w:t xml:space="preserve"> (Appendix </w:t>
            </w:r>
            <w:r w:rsidR="000678C1">
              <w:t>'</w:t>
            </w:r>
            <w:r w:rsidRPr="00896DF9">
              <w:t>B</w:t>
            </w:r>
            <w:r w:rsidR="000678C1">
              <w:t>'</w:t>
            </w:r>
            <w:r w:rsidRPr="00896DF9">
              <w:t xml:space="preserve">) also covers the period 1 </w:t>
            </w:r>
            <w:r w:rsidR="00896DF9" w:rsidRPr="00896DF9">
              <w:t xml:space="preserve">July </w:t>
            </w:r>
            <w:r w:rsidRPr="00896DF9">
              <w:t>to 3</w:t>
            </w:r>
            <w:r w:rsidR="0058415B" w:rsidRPr="00896DF9">
              <w:t xml:space="preserve">0 </w:t>
            </w:r>
            <w:r w:rsidR="00896DF9" w:rsidRPr="00896DF9">
              <w:t>September</w:t>
            </w:r>
            <w:r w:rsidR="0058415B" w:rsidRPr="00896DF9">
              <w:t xml:space="preserve"> </w:t>
            </w:r>
            <w:r w:rsidRPr="00896DF9">
              <w:t>201</w:t>
            </w:r>
            <w:r w:rsidR="009938EC" w:rsidRPr="00896DF9">
              <w:t>3</w:t>
            </w:r>
            <w:r w:rsidRPr="00896DF9">
              <w:t xml:space="preserve">. </w:t>
            </w:r>
          </w:p>
          <w:p w:rsidR="0098084A" w:rsidRPr="00896DF9" w:rsidRDefault="0098084A" w:rsidP="00DB2EDD"/>
          <w:p w:rsidR="00CB5C49" w:rsidRDefault="00CB5C49" w:rsidP="00DB2EDD">
            <w:proofErr w:type="gramStart"/>
            <w:r w:rsidRPr="00896DF9">
              <w:t>Details</w:t>
            </w:r>
            <w:proofErr w:type="gramEnd"/>
            <w:r w:rsidRPr="00896DF9">
              <w:t xml:space="preserve"> of </w:t>
            </w:r>
            <w:r w:rsidR="00BD27F1">
              <w:t xml:space="preserve">potential </w:t>
            </w:r>
            <w:r w:rsidRPr="00896DF9">
              <w:t xml:space="preserve">class actions in relation to companies in which Lancashire County Pension Fund </w:t>
            </w:r>
            <w:r w:rsidR="00E056E0">
              <w:t xml:space="preserve">owns, or </w:t>
            </w:r>
            <w:r w:rsidRPr="00896DF9">
              <w:t>has owned shares is also set out in the report.</w:t>
            </w:r>
          </w:p>
          <w:p w:rsidR="006D5F5D" w:rsidRDefault="006D5F5D" w:rsidP="00DB2EDD"/>
          <w:p w:rsidR="006D5F5D" w:rsidRPr="00896DF9" w:rsidRDefault="006D5F5D" w:rsidP="00DB2EDD">
            <w:r>
              <w:t>An update on recent developments relating to fiduciary duty is also provided to the Committee.</w:t>
            </w:r>
          </w:p>
          <w:p w:rsidR="00CB5C49" w:rsidRPr="00896DF9" w:rsidRDefault="00CB5C49" w:rsidP="00DB2EDD"/>
          <w:p w:rsidR="003E6A45" w:rsidRPr="00896DF9" w:rsidRDefault="003E6A45" w:rsidP="00F915F7">
            <w:pPr>
              <w:pStyle w:val="Heading5"/>
              <w:spacing w:after="120"/>
              <w:rPr>
                <w:rFonts w:ascii="Arial" w:hAnsi="Arial"/>
                <w:u w:val="none"/>
              </w:rPr>
            </w:pPr>
            <w:r w:rsidRPr="00896DF9">
              <w:rPr>
                <w:rFonts w:ascii="Arial" w:hAnsi="Arial"/>
                <w:u w:val="none"/>
              </w:rPr>
              <w:t>Recommendation</w:t>
            </w:r>
          </w:p>
          <w:p w:rsidR="00831A0B" w:rsidRDefault="000678C1" w:rsidP="006E5686">
            <w:r>
              <w:t xml:space="preserve">The Committee is asked: </w:t>
            </w:r>
          </w:p>
          <w:p w:rsidR="00831A0B" w:rsidRPr="00896DF9" w:rsidRDefault="00831A0B" w:rsidP="006E5686"/>
          <w:p w:rsidR="003E6A45" w:rsidRDefault="000678C1" w:rsidP="00C70DB6">
            <w:pPr>
              <w:pStyle w:val="ListParagraph"/>
              <w:numPr>
                <w:ilvl w:val="0"/>
                <w:numId w:val="13"/>
              </w:numPr>
            </w:pPr>
            <w:proofErr w:type="gramStart"/>
            <w:r>
              <w:t>to</w:t>
            </w:r>
            <w:proofErr w:type="gramEnd"/>
            <w:r w:rsidR="006E5686" w:rsidRPr="00896DF9">
              <w:t xml:space="preserve"> note the report</w:t>
            </w:r>
            <w:r w:rsidR="00335582" w:rsidRPr="00896DF9">
              <w:t>.</w:t>
            </w:r>
            <w:r w:rsidR="00C70DB6">
              <w:t xml:space="preserve"> </w:t>
            </w:r>
          </w:p>
          <w:p w:rsidR="00C70DB6" w:rsidRDefault="00C70DB6" w:rsidP="00C70DB6">
            <w:pPr>
              <w:pStyle w:val="ListParagraph"/>
            </w:pPr>
          </w:p>
          <w:p w:rsidR="00C70DB6" w:rsidRPr="00896DF9" w:rsidRDefault="000678C1" w:rsidP="00C70DB6">
            <w:pPr>
              <w:pStyle w:val="ListParagraph"/>
              <w:numPr>
                <w:ilvl w:val="0"/>
                <w:numId w:val="13"/>
              </w:numPr>
            </w:pPr>
            <w:proofErr w:type="gramStart"/>
            <w:r>
              <w:t>to</w:t>
            </w:r>
            <w:proofErr w:type="gramEnd"/>
            <w:r w:rsidR="00C70DB6" w:rsidRPr="00C70DB6">
              <w:t xml:space="preserve"> </w:t>
            </w:r>
            <w:r w:rsidR="00960A47">
              <w:t xml:space="preserve">welcome the Law Commission's review of fiduciary duty and </w:t>
            </w:r>
            <w:r>
              <w:t xml:space="preserve">to </w:t>
            </w:r>
            <w:r w:rsidR="00831A0B">
              <w:t xml:space="preserve">agree to </w:t>
            </w:r>
            <w:r w:rsidR="00960A47">
              <w:t xml:space="preserve">review the position with regard to ethical investment and returns when the findings of the Law Commission are published. </w:t>
            </w:r>
          </w:p>
          <w:p w:rsidR="003E6A45" w:rsidRPr="00F469CD" w:rsidRDefault="003E6A45" w:rsidP="00C85D7C">
            <w:pPr>
              <w:rPr>
                <w:color w:val="FF0000"/>
              </w:rPr>
            </w:pPr>
          </w:p>
        </w:tc>
      </w:tr>
    </w:tbl>
    <w:p w:rsidR="00F134C5" w:rsidRPr="00F469CD" w:rsidRDefault="00F134C5">
      <w:pPr>
        <w:rPr>
          <w:color w:val="FF0000"/>
        </w:rPr>
      </w:pPr>
      <w:r w:rsidRPr="00F469CD">
        <w:rPr>
          <w:color w:val="FF0000"/>
        </w:rPr>
        <w:br w:type="page"/>
      </w:r>
    </w:p>
    <w:p w:rsidR="00772BBA" w:rsidRPr="008B1C39" w:rsidRDefault="00772BBA" w:rsidP="00772BBA">
      <w:pPr>
        <w:rPr>
          <w:b/>
        </w:rPr>
      </w:pPr>
      <w:r w:rsidRPr="008B1C39">
        <w:rPr>
          <w:b/>
        </w:rPr>
        <w:lastRenderedPageBreak/>
        <w:t xml:space="preserve">Background and Advice </w:t>
      </w:r>
    </w:p>
    <w:p w:rsidR="00BE189C" w:rsidRPr="008B1C39" w:rsidRDefault="00BE189C" w:rsidP="00772BBA">
      <w:pPr>
        <w:rPr>
          <w:b/>
        </w:rPr>
      </w:pPr>
    </w:p>
    <w:p w:rsidR="00FE2F7C" w:rsidRDefault="00DB147E">
      <w:pPr>
        <w:pStyle w:val="Heading1"/>
        <w:numPr>
          <w:ilvl w:val="0"/>
          <w:numId w:val="14"/>
        </w:numPr>
        <w:ind w:left="851" w:hanging="851"/>
        <w:rPr>
          <w:bCs/>
        </w:rPr>
      </w:pPr>
      <w:r w:rsidRPr="008B1C39">
        <w:rPr>
          <w:bCs/>
        </w:rPr>
        <w:t>Shareholder Vo</w:t>
      </w:r>
      <w:r w:rsidR="00F134C5" w:rsidRPr="008B1C39">
        <w:rPr>
          <w:bCs/>
        </w:rPr>
        <w:t>t</w:t>
      </w:r>
      <w:r w:rsidRPr="008B1C39">
        <w:rPr>
          <w:bCs/>
        </w:rPr>
        <w:t>ing and Governance</w:t>
      </w:r>
    </w:p>
    <w:p w:rsidR="00EB067F" w:rsidRPr="008B1C39" w:rsidRDefault="00EB067F">
      <w:pPr>
        <w:pStyle w:val="Heading1"/>
        <w:rPr>
          <w:b w:val="0"/>
          <w:bCs/>
        </w:rPr>
      </w:pPr>
    </w:p>
    <w:p w:rsidR="00FE2F7C" w:rsidRDefault="007F5938" w:rsidP="000678C1">
      <w:pPr>
        <w:pStyle w:val="Heading1"/>
        <w:rPr>
          <w:sz w:val="17"/>
          <w:szCs w:val="17"/>
        </w:rPr>
      </w:pPr>
      <w:proofErr w:type="spellStart"/>
      <w:proofErr w:type="gramStart"/>
      <w:r w:rsidRPr="008B1C39">
        <w:rPr>
          <w:b w:val="0"/>
          <w:bCs/>
        </w:rPr>
        <w:t>PIRC</w:t>
      </w:r>
      <w:proofErr w:type="spellEnd"/>
      <w:r w:rsidR="00C74ABC" w:rsidRPr="008B1C39">
        <w:rPr>
          <w:b w:val="0"/>
          <w:bCs/>
        </w:rPr>
        <w:t>,</w:t>
      </w:r>
      <w:proofErr w:type="gramEnd"/>
      <w:r w:rsidRPr="008B1C39">
        <w:rPr>
          <w:b w:val="0"/>
          <w:bCs/>
        </w:rPr>
        <w:t xml:space="preserve"> </w:t>
      </w:r>
      <w:r w:rsidR="00C74ABC" w:rsidRPr="008B1C39">
        <w:rPr>
          <w:b w:val="0"/>
          <w:bCs/>
        </w:rPr>
        <w:t>acts</w:t>
      </w:r>
      <w:r w:rsidR="00C85D7C" w:rsidRPr="008B1C39">
        <w:rPr>
          <w:b w:val="0"/>
          <w:bCs/>
        </w:rPr>
        <w:t xml:space="preserve"> as the Fund's proxy and cast</w:t>
      </w:r>
      <w:r w:rsidR="00C74ABC" w:rsidRPr="008B1C39">
        <w:rPr>
          <w:b w:val="0"/>
          <w:bCs/>
        </w:rPr>
        <w:t>s</w:t>
      </w:r>
      <w:r w:rsidR="00C85D7C" w:rsidRPr="008B1C39">
        <w:rPr>
          <w:b w:val="0"/>
          <w:bCs/>
        </w:rPr>
        <w:t xml:space="preserve"> the Fund's votes </w:t>
      </w:r>
      <w:r w:rsidR="00C74ABC" w:rsidRPr="008B1C39">
        <w:rPr>
          <w:b w:val="0"/>
          <w:bCs/>
        </w:rPr>
        <w:t xml:space="preserve">on its investments </w:t>
      </w:r>
      <w:r w:rsidR="00C85D7C" w:rsidRPr="008B1C39">
        <w:rPr>
          <w:b w:val="0"/>
          <w:bCs/>
        </w:rPr>
        <w:t>at shareholder meetings</w:t>
      </w:r>
      <w:r w:rsidR="00C34000" w:rsidRPr="008B1C39">
        <w:rPr>
          <w:b w:val="0"/>
          <w:bCs/>
        </w:rPr>
        <w:t xml:space="preserve">.  </w:t>
      </w:r>
      <w:r w:rsidRPr="008B1C39">
        <w:rPr>
          <w:b w:val="0"/>
          <w:bCs/>
        </w:rPr>
        <w:t>PIRC are instructed to vote in accordance with their guidelines unless the Fund instructs an exception</w:t>
      </w:r>
      <w:r w:rsidR="00C85D7C" w:rsidRPr="008B1C39">
        <w:rPr>
          <w:b w:val="0"/>
          <w:bCs/>
        </w:rPr>
        <w:t>.</w:t>
      </w:r>
      <w:r w:rsidR="008E4C5A" w:rsidRPr="008B1C39">
        <w:rPr>
          <w:b w:val="0"/>
          <w:bCs/>
        </w:rPr>
        <w:t xml:space="preserve">  PIRC analyses investee companies</w:t>
      </w:r>
      <w:r w:rsidR="00C34000" w:rsidRPr="008B1C39">
        <w:rPr>
          <w:b w:val="0"/>
          <w:bCs/>
        </w:rPr>
        <w:t xml:space="preserve"> </w:t>
      </w:r>
      <w:r w:rsidR="008E4C5A" w:rsidRPr="008B1C39">
        <w:rPr>
          <w:b w:val="0"/>
          <w:bCs/>
        </w:rPr>
        <w:t xml:space="preserve">and produces </w:t>
      </w:r>
      <w:r w:rsidR="00C34000" w:rsidRPr="008B1C39">
        <w:rPr>
          <w:b w:val="0"/>
          <w:bCs/>
        </w:rPr>
        <w:t xml:space="preserve">publically available </w:t>
      </w:r>
      <w:r w:rsidR="008E4C5A" w:rsidRPr="008B1C39">
        <w:rPr>
          <w:b w:val="0"/>
          <w:bCs/>
        </w:rPr>
        <w:t>voting recommendations to encourage companies to adhere to high standards of governance and social responsibility</w:t>
      </w:r>
      <w:r w:rsidR="00C34000" w:rsidRPr="008B1C39">
        <w:rPr>
          <w:b w:val="0"/>
          <w:bCs/>
        </w:rPr>
        <w:t>.</w:t>
      </w:r>
      <w:r w:rsidR="00261808" w:rsidRPr="008B1C39">
        <w:rPr>
          <w:b w:val="0"/>
          <w:bCs/>
        </w:rPr>
        <w:t xml:space="preserve">  The analysis includes a review of the adequacy of environmental and employment policies and the disclosure of quantifiable environmental reporting.</w:t>
      </w:r>
      <w:r w:rsidR="00C34000" w:rsidRPr="008B1C39">
        <w:rPr>
          <w:b w:val="0"/>
          <w:bCs/>
        </w:rPr>
        <w:t xml:space="preserve">  PIRC is also an active supporter of the Stewardship Code, a code of practice published by the Financial Reporting </w:t>
      </w:r>
      <w:r w:rsidR="003C658E" w:rsidRPr="008B1C39">
        <w:rPr>
          <w:b w:val="0"/>
          <w:bCs/>
        </w:rPr>
        <w:t xml:space="preserve">Council </w:t>
      </w:r>
      <w:r w:rsidR="00C34000" w:rsidRPr="008B1C39">
        <w:rPr>
          <w:b w:val="0"/>
          <w:bCs/>
        </w:rPr>
        <w:t xml:space="preserve">with the aim of enhancing the quality of engagement between institutional investors and companies.  </w:t>
      </w:r>
    </w:p>
    <w:p w:rsidR="00C34000" w:rsidRPr="008B1C39" w:rsidRDefault="00C34000">
      <w:pPr>
        <w:pStyle w:val="Heading1"/>
        <w:rPr>
          <w:sz w:val="17"/>
          <w:szCs w:val="17"/>
        </w:rPr>
      </w:pPr>
    </w:p>
    <w:p w:rsidR="00FE2F7C" w:rsidRDefault="003C658E" w:rsidP="000678C1">
      <w:pPr>
        <w:pStyle w:val="Heading1"/>
        <w:rPr>
          <w:b w:val="0"/>
          <w:bCs/>
        </w:rPr>
      </w:pPr>
      <w:r w:rsidRPr="008B1C39">
        <w:rPr>
          <w:b w:val="0"/>
          <w:bCs/>
        </w:rPr>
        <w:t xml:space="preserve">There may be occasions when the Fund wishes to cast a vote at a shareholder meeting in a way which does not accord with PIRC's recommendations.  For example, an investment manager might request the Fund to vote in a particular way to support or oppose a corporate action.  Such requests would be considered by the Fund on a case by case basis and PIRC instructed to cast the Fund's vote accordingly.  </w:t>
      </w:r>
    </w:p>
    <w:p w:rsidR="0077613C" w:rsidRPr="008B1C39" w:rsidRDefault="0077613C" w:rsidP="0077613C"/>
    <w:p w:rsidR="00FE2F7C" w:rsidRDefault="003A76CB" w:rsidP="000678C1">
      <w:pPr>
        <w:pStyle w:val="Heading1"/>
      </w:pPr>
      <w:proofErr w:type="spellStart"/>
      <w:r>
        <w:rPr>
          <w:b w:val="0"/>
        </w:rPr>
        <w:t>PIRC</w:t>
      </w:r>
      <w:proofErr w:type="spellEnd"/>
      <w:r>
        <w:rPr>
          <w:b w:val="0"/>
        </w:rPr>
        <w:t xml:space="preserve"> also lobbies actively on behalf of its investing clients as well as providing them with detailed support.  It works closely with NAPF (the National Association of Pension Funds) and LAPFF (the forum of Local Authority Pension Funds). </w:t>
      </w:r>
    </w:p>
    <w:p w:rsidR="006D64D0" w:rsidRPr="008B1C39" w:rsidRDefault="006D64D0" w:rsidP="0077613C"/>
    <w:p w:rsidR="00FE2F7C" w:rsidRDefault="007F5938" w:rsidP="000678C1">
      <w:pPr>
        <w:pStyle w:val="Heading1"/>
        <w:rPr>
          <w:b w:val="0"/>
          <w:bCs/>
        </w:rPr>
      </w:pPr>
      <w:proofErr w:type="spellStart"/>
      <w:r w:rsidRPr="008B1C39">
        <w:rPr>
          <w:b w:val="0"/>
          <w:bCs/>
        </w:rPr>
        <w:t>PIRC</w:t>
      </w:r>
      <w:r w:rsidR="006D64D0" w:rsidRPr="008B1C39">
        <w:rPr>
          <w:b w:val="0"/>
          <w:bCs/>
        </w:rPr>
        <w:t>'s</w:t>
      </w:r>
      <w:proofErr w:type="spellEnd"/>
      <w:r w:rsidR="006D64D0" w:rsidRPr="008B1C39">
        <w:rPr>
          <w:b w:val="0"/>
          <w:bCs/>
        </w:rPr>
        <w:t xml:space="preserve"> quarterly report to 3</w:t>
      </w:r>
      <w:r w:rsidR="001B2FB0" w:rsidRPr="008B1C39">
        <w:rPr>
          <w:b w:val="0"/>
          <w:bCs/>
        </w:rPr>
        <w:t xml:space="preserve">0 </w:t>
      </w:r>
      <w:r w:rsidR="008B1C39" w:rsidRPr="008B1C39">
        <w:rPr>
          <w:b w:val="0"/>
          <w:bCs/>
        </w:rPr>
        <w:t>September</w:t>
      </w:r>
      <w:r w:rsidR="004C3B78" w:rsidRPr="008B1C39">
        <w:rPr>
          <w:b w:val="0"/>
          <w:bCs/>
        </w:rPr>
        <w:t xml:space="preserve"> </w:t>
      </w:r>
      <w:r w:rsidR="006D64D0" w:rsidRPr="008B1C39">
        <w:rPr>
          <w:b w:val="0"/>
          <w:bCs/>
        </w:rPr>
        <w:t xml:space="preserve">is presented </w:t>
      </w:r>
      <w:r w:rsidR="00FA34CE" w:rsidRPr="008B1C39">
        <w:rPr>
          <w:b w:val="0"/>
          <w:bCs/>
        </w:rPr>
        <w:t xml:space="preserve">at </w:t>
      </w:r>
      <w:r w:rsidR="006D64D0" w:rsidRPr="008B1C39">
        <w:rPr>
          <w:b w:val="0"/>
          <w:bCs/>
        </w:rPr>
        <w:t>Appendix</w:t>
      </w:r>
      <w:r w:rsidR="00FA34CE" w:rsidRPr="008B1C39">
        <w:rPr>
          <w:b w:val="0"/>
          <w:bCs/>
        </w:rPr>
        <w:t xml:space="preserve"> </w:t>
      </w:r>
      <w:r w:rsidR="000678C1">
        <w:rPr>
          <w:b w:val="0"/>
          <w:bCs/>
        </w:rPr>
        <w:t>'</w:t>
      </w:r>
      <w:r w:rsidR="00FA34CE" w:rsidRPr="008B1C39">
        <w:rPr>
          <w:b w:val="0"/>
          <w:bCs/>
        </w:rPr>
        <w:t>A</w:t>
      </w:r>
      <w:r w:rsidR="000678C1">
        <w:rPr>
          <w:b w:val="0"/>
          <w:bCs/>
        </w:rPr>
        <w:t>'</w:t>
      </w:r>
      <w:r w:rsidR="006D64D0" w:rsidRPr="008B1C39">
        <w:rPr>
          <w:b w:val="0"/>
          <w:bCs/>
        </w:rPr>
        <w:t xml:space="preserve">.  </w:t>
      </w:r>
      <w:r w:rsidR="00C14C4E" w:rsidRPr="008B1C39">
        <w:rPr>
          <w:b w:val="0"/>
          <w:bCs/>
        </w:rPr>
        <w:t xml:space="preserve">This report not only provides details of the </w:t>
      </w:r>
      <w:r w:rsidR="00DB147E" w:rsidRPr="008B1C39">
        <w:rPr>
          <w:b w:val="0"/>
          <w:bCs/>
        </w:rPr>
        <w:t>votes</w:t>
      </w:r>
      <w:r w:rsidR="00C14C4E" w:rsidRPr="008B1C39">
        <w:rPr>
          <w:b w:val="0"/>
          <w:bCs/>
        </w:rPr>
        <w:t xml:space="preserve"> cast on behalf of the Fund but also provides a commentary on events during the period relevant to environmental and social governance issues.</w:t>
      </w:r>
    </w:p>
    <w:p w:rsidR="00C04443" w:rsidRPr="008B1C39" w:rsidRDefault="00C04443" w:rsidP="00C04443">
      <w:pPr>
        <w:pStyle w:val="Heading1"/>
        <w:rPr>
          <w:bCs/>
        </w:rPr>
      </w:pPr>
    </w:p>
    <w:p w:rsidR="00FE2F7C" w:rsidRDefault="00C14C4E" w:rsidP="000678C1">
      <w:pPr>
        <w:pStyle w:val="Heading1"/>
        <w:rPr>
          <w:b w:val="0"/>
          <w:bCs/>
        </w:rPr>
      </w:pPr>
      <w:r w:rsidRPr="008B1C39">
        <w:rPr>
          <w:b w:val="0"/>
          <w:bCs/>
        </w:rPr>
        <w:t xml:space="preserve">In addition </w:t>
      </w:r>
      <w:proofErr w:type="spellStart"/>
      <w:r w:rsidR="00C04443" w:rsidRPr="008B1C39">
        <w:rPr>
          <w:b w:val="0"/>
          <w:bCs/>
        </w:rPr>
        <w:t>PIRC</w:t>
      </w:r>
      <w:proofErr w:type="spellEnd"/>
      <w:r w:rsidR="00C04443" w:rsidRPr="008B1C39">
        <w:rPr>
          <w:b w:val="0"/>
          <w:bCs/>
        </w:rPr>
        <w:t xml:space="preserve"> produces a detailed document which is reviewed by the Fund's officers, which sets out the circumstances and reasoning for every resolution opposed, abstained or withheld.  This document is available on request.</w:t>
      </w:r>
    </w:p>
    <w:p w:rsidR="000550EA" w:rsidRPr="00F469CD" w:rsidRDefault="000550EA">
      <w:pPr>
        <w:rPr>
          <w:bCs/>
          <w:color w:val="FF0000"/>
        </w:rPr>
      </w:pPr>
    </w:p>
    <w:p w:rsidR="00FE2F7C" w:rsidRDefault="006E5686" w:rsidP="000678C1">
      <w:pPr>
        <w:pStyle w:val="Heading1"/>
        <w:rPr>
          <w:b w:val="0"/>
          <w:bCs/>
        </w:rPr>
      </w:pPr>
      <w:r w:rsidRPr="008B1C39">
        <w:rPr>
          <w:b w:val="0"/>
          <w:bCs/>
        </w:rPr>
        <w:lastRenderedPageBreak/>
        <w:t>Th</w:t>
      </w:r>
      <w:r w:rsidR="00AD0AC0" w:rsidRPr="008B1C39">
        <w:rPr>
          <w:b w:val="0"/>
          <w:bCs/>
        </w:rPr>
        <w:t xml:space="preserve">e Fund's voting record </w:t>
      </w:r>
      <w:r w:rsidR="005A0869" w:rsidRPr="008B1C39">
        <w:rPr>
          <w:b w:val="0"/>
          <w:bCs/>
        </w:rPr>
        <w:t xml:space="preserve">using </w:t>
      </w:r>
      <w:r w:rsidR="00233F14" w:rsidRPr="008B1C39">
        <w:rPr>
          <w:b w:val="0"/>
          <w:bCs/>
        </w:rPr>
        <w:t xml:space="preserve">PIRC </w:t>
      </w:r>
      <w:r w:rsidR="005A0869" w:rsidRPr="008B1C39">
        <w:rPr>
          <w:b w:val="0"/>
          <w:bCs/>
        </w:rPr>
        <w:t xml:space="preserve">as its proxy </w:t>
      </w:r>
      <w:r w:rsidR="00AD0AC0" w:rsidRPr="008B1C39">
        <w:rPr>
          <w:b w:val="0"/>
          <w:bCs/>
        </w:rPr>
        <w:t xml:space="preserve">for the </w:t>
      </w:r>
      <w:r w:rsidR="00C418E0" w:rsidRPr="008B1C39">
        <w:rPr>
          <w:b w:val="0"/>
          <w:bCs/>
        </w:rPr>
        <w:t>three</w:t>
      </w:r>
      <w:r w:rsidR="00AD0AC0" w:rsidRPr="008B1C39">
        <w:rPr>
          <w:b w:val="0"/>
          <w:bCs/>
        </w:rPr>
        <w:t xml:space="preserve"> months ended 3</w:t>
      </w:r>
      <w:r w:rsidR="003B4067" w:rsidRPr="008B1C39">
        <w:rPr>
          <w:b w:val="0"/>
          <w:bCs/>
        </w:rPr>
        <w:t xml:space="preserve">0 </w:t>
      </w:r>
      <w:r w:rsidR="008B1C39" w:rsidRPr="008B1C39">
        <w:rPr>
          <w:b w:val="0"/>
          <w:bCs/>
        </w:rPr>
        <w:t>September</w:t>
      </w:r>
      <w:r w:rsidR="009938EC" w:rsidRPr="008B1C39">
        <w:rPr>
          <w:b w:val="0"/>
          <w:bCs/>
        </w:rPr>
        <w:t xml:space="preserve"> </w:t>
      </w:r>
      <w:r w:rsidR="00C04443" w:rsidRPr="008B1C39">
        <w:rPr>
          <w:b w:val="0"/>
          <w:bCs/>
        </w:rPr>
        <w:t>201</w:t>
      </w:r>
      <w:r w:rsidR="009938EC" w:rsidRPr="008B1C39">
        <w:rPr>
          <w:b w:val="0"/>
          <w:bCs/>
        </w:rPr>
        <w:t>3</w:t>
      </w:r>
      <w:r w:rsidR="00AD0AC0" w:rsidRPr="008B1C39">
        <w:rPr>
          <w:b w:val="0"/>
          <w:bCs/>
        </w:rPr>
        <w:t xml:space="preserve"> is summarised below:</w:t>
      </w:r>
    </w:p>
    <w:p w:rsidR="00047C28" w:rsidRDefault="00047C28" w:rsidP="00047C28">
      <w:pPr>
        <w:rPr>
          <w:rFonts w:cs="Arial"/>
          <w:b/>
          <w:sz w:val="22"/>
          <w:szCs w:val="22"/>
        </w:rPr>
      </w:pPr>
      <w:r w:rsidRPr="005069A3">
        <w:rPr>
          <w:rFonts w:cs="Arial"/>
          <w:b/>
          <w:sz w:val="22"/>
          <w:szCs w:val="22"/>
        </w:rPr>
        <w:t>TABLE 1: GEOGRAPHIC VOTING OVERVIEW</w:t>
      </w:r>
    </w:p>
    <w:tbl>
      <w:tblPr>
        <w:tblW w:w="496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526"/>
        <w:gridCol w:w="1134"/>
        <w:gridCol w:w="1417"/>
        <w:gridCol w:w="709"/>
        <w:gridCol w:w="992"/>
        <w:gridCol w:w="993"/>
        <w:gridCol w:w="1134"/>
        <w:gridCol w:w="1275"/>
      </w:tblGrid>
      <w:tr w:rsidR="00DA2A86" w:rsidRPr="005069A3" w:rsidTr="00DA2A86">
        <w:tc>
          <w:tcPr>
            <w:tcW w:w="1526"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Geographic Region</w:t>
            </w:r>
          </w:p>
        </w:tc>
        <w:tc>
          <w:tcPr>
            <w:tcW w:w="1134"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Meeting</w:t>
            </w:r>
          </w:p>
        </w:tc>
        <w:tc>
          <w:tcPr>
            <w:tcW w:w="1417"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Resolutions</w:t>
            </w:r>
          </w:p>
        </w:tc>
        <w:tc>
          <w:tcPr>
            <w:tcW w:w="709"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For</w:t>
            </w:r>
          </w:p>
        </w:tc>
        <w:tc>
          <w:tcPr>
            <w:tcW w:w="992"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Oppose</w:t>
            </w:r>
          </w:p>
        </w:tc>
        <w:tc>
          <w:tcPr>
            <w:tcW w:w="993"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Abstain</w:t>
            </w:r>
          </w:p>
        </w:tc>
        <w:tc>
          <w:tcPr>
            <w:tcW w:w="1134"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Withheld</w:t>
            </w:r>
          </w:p>
        </w:tc>
        <w:tc>
          <w:tcPr>
            <w:tcW w:w="1275" w:type="dxa"/>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Non-Voting</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SOUTH AND CENTRAL AMERICA</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417" w:type="dxa"/>
          </w:tcPr>
          <w:p w:rsidR="00047C28" w:rsidRPr="005069A3" w:rsidRDefault="00047C28" w:rsidP="00047C28">
            <w:pPr>
              <w:pStyle w:val="BodyText"/>
              <w:rPr>
                <w:rFonts w:cs="Arial"/>
                <w:szCs w:val="22"/>
              </w:rPr>
            </w:pPr>
            <w:r w:rsidRPr="005069A3">
              <w:rPr>
                <w:rFonts w:cs="Arial"/>
                <w:sz w:val="22"/>
                <w:szCs w:val="22"/>
              </w:rPr>
              <w:t>0</w:t>
            </w:r>
          </w:p>
        </w:tc>
        <w:tc>
          <w:tcPr>
            <w:tcW w:w="709" w:type="dxa"/>
          </w:tcPr>
          <w:p w:rsidR="00047C28" w:rsidRPr="005069A3" w:rsidRDefault="00047C28" w:rsidP="00047C28">
            <w:pPr>
              <w:pStyle w:val="BodyText"/>
              <w:rPr>
                <w:rFonts w:cs="Arial"/>
                <w:szCs w:val="22"/>
              </w:rPr>
            </w:pPr>
            <w:r w:rsidRPr="005069A3">
              <w:rPr>
                <w:rFonts w:cs="Arial"/>
                <w:sz w:val="22"/>
                <w:szCs w:val="22"/>
              </w:rPr>
              <w:t>0</w:t>
            </w:r>
          </w:p>
        </w:tc>
        <w:tc>
          <w:tcPr>
            <w:tcW w:w="992" w:type="dxa"/>
          </w:tcPr>
          <w:p w:rsidR="00047C28" w:rsidRPr="005069A3" w:rsidRDefault="00047C28" w:rsidP="00047C28">
            <w:pPr>
              <w:pStyle w:val="BodyText"/>
              <w:rPr>
                <w:rFonts w:cs="Arial"/>
                <w:szCs w:val="22"/>
              </w:rPr>
            </w:pPr>
            <w:r w:rsidRPr="005069A3">
              <w:rPr>
                <w:rFonts w:cs="Arial"/>
                <w:sz w:val="22"/>
                <w:szCs w:val="22"/>
              </w:rPr>
              <w:t>0</w:t>
            </w:r>
          </w:p>
        </w:tc>
        <w:tc>
          <w:tcPr>
            <w:tcW w:w="993" w:type="dxa"/>
          </w:tcPr>
          <w:p w:rsidR="00047C28" w:rsidRPr="005069A3" w:rsidRDefault="00047C28" w:rsidP="00047C28">
            <w:pPr>
              <w:pStyle w:val="BodyText"/>
              <w:rPr>
                <w:rFonts w:cs="Arial"/>
                <w:szCs w:val="22"/>
              </w:rPr>
            </w:pPr>
            <w:r w:rsidRPr="005069A3">
              <w:rPr>
                <w:rFonts w:cs="Arial"/>
                <w:sz w:val="22"/>
                <w:szCs w:val="22"/>
              </w:rPr>
              <w:t>0</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REST OF THE WORLD</w:t>
            </w:r>
          </w:p>
        </w:tc>
        <w:tc>
          <w:tcPr>
            <w:tcW w:w="1134" w:type="dxa"/>
          </w:tcPr>
          <w:p w:rsidR="00047C28" w:rsidRPr="005069A3" w:rsidRDefault="00047C28" w:rsidP="00047C28">
            <w:pPr>
              <w:pStyle w:val="BodyText"/>
              <w:rPr>
                <w:rFonts w:cs="Arial"/>
                <w:szCs w:val="22"/>
              </w:rPr>
            </w:pPr>
            <w:r w:rsidRPr="005069A3">
              <w:rPr>
                <w:rFonts w:cs="Arial"/>
                <w:sz w:val="22"/>
                <w:szCs w:val="22"/>
              </w:rPr>
              <w:t>2</w:t>
            </w:r>
          </w:p>
        </w:tc>
        <w:tc>
          <w:tcPr>
            <w:tcW w:w="1417" w:type="dxa"/>
          </w:tcPr>
          <w:p w:rsidR="00047C28" w:rsidRPr="005069A3" w:rsidRDefault="00047C28" w:rsidP="00047C28">
            <w:pPr>
              <w:pStyle w:val="BodyText"/>
              <w:rPr>
                <w:rFonts w:cs="Arial"/>
                <w:szCs w:val="22"/>
              </w:rPr>
            </w:pPr>
            <w:r w:rsidRPr="005069A3">
              <w:rPr>
                <w:rFonts w:cs="Arial"/>
                <w:sz w:val="22"/>
                <w:szCs w:val="22"/>
              </w:rPr>
              <w:t>66</w:t>
            </w:r>
          </w:p>
        </w:tc>
        <w:tc>
          <w:tcPr>
            <w:tcW w:w="709" w:type="dxa"/>
          </w:tcPr>
          <w:p w:rsidR="00047C28" w:rsidRPr="005069A3" w:rsidRDefault="00047C28" w:rsidP="00047C28">
            <w:pPr>
              <w:pStyle w:val="BodyText"/>
              <w:rPr>
                <w:rFonts w:cs="Arial"/>
                <w:szCs w:val="22"/>
              </w:rPr>
            </w:pPr>
            <w:r w:rsidRPr="005069A3">
              <w:rPr>
                <w:rFonts w:cs="Arial"/>
                <w:sz w:val="22"/>
                <w:szCs w:val="22"/>
              </w:rPr>
              <w:t>31</w:t>
            </w:r>
          </w:p>
        </w:tc>
        <w:tc>
          <w:tcPr>
            <w:tcW w:w="992" w:type="dxa"/>
          </w:tcPr>
          <w:p w:rsidR="00047C28" w:rsidRPr="005069A3" w:rsidRDefault="00047C28" w:rsidP="00047C28">
            <w:pPr>
              <w:pStyle w:val="BodyText"/>
              <w:rPr>
                <w:rFonts w:cs="Arial"/>
                <w:szCs w:val="22"/>
              </w:rPr>
            </w:pPr>
            <w:r w:rsidRPr="005069A3">
              <w:rPr>
                <w:rFonts w:cs="Arial"/>
                <w:sz w:val="22"/>
                <w:szCs w:val="22"/>
              </w:rPr>
              <w:t>26</w:t>
            </w:r>
          </w:p>
        </w:tc>
        <w:tc>
          <w:tcPr>
            <w:tcW w:w="993" w:type="dxa"/>
          </w:tcPr>
          <w:p w:rsidR="00047C28" w:rsidRPr="005069A3" w:rsidRDefault="00047C28" w:rsidP="00047C28">
            <w:pPr>
              <w:pStyle w:val="BodyText"/>
              <w:rPr>
                <w:rFonts w:cs="Arial"/>
                <w:szCs w:val="22"/>
              </w:rPr>
            </w:pPr>
            <w:r w:rsidRPr="005069A3">
              <w:rPr>
                <w:rFonts w:cs="Arial"/>
                <w:sz w:val="22"/>
                <w:szCs w:val="22"/>
              </w:rPr>
              <w:t>9</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ASIA</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417" w:type="dxa"/>
          </w:tcPr>
          <w:p w:rsidR="00047C28" w:rsidRPr="005069A3" w:rsidRDefault="00047C28" w:rsidP="00047C28">
            <w:pPr>
              <w:pStyle w:val="BodyText"/>
              <w:rPr>
                <w:rFonts w:cs="Arial"/>
                <w:szCs w:val="22"/>
              </w:rPr>
            </w:pPr>
            <w:r w:rsidRPr="005069A3">
              <w:rPr>
                <w:rFonts w:cs="Arial"/>
                <w:sz w:val="22"/>
                <w:szCs w:val="22"/>
              </w:rPr>
              <w:t>0</w:t>
            </w:r>
          </w:p>
        </w:tc>
        <w:tc>
          <w:tcPr>
            <w:tcW w:w="709" w:type="dxa"/>
          </w:tcPr>
          <w:p w:rsidR="00047C28" w:rsidRPr="005069A3" w:rsidRDefault="00047C28" w:rsidP="00047C28">
            <w:pPr>
              <w:pStyle w:val="BodyText"/>
              <w:rPr>
                <w:rFonts w:cs="Arial"/>
                <w:szCs w:val="22"/>
              </w:rPr>
            </w:pPr>
            <w:r w:rsidRPr="005069A3">
              <w:rPr>
                <w:rFonts w:cs="Arial"/>
                <w:sz w:val="22"/>
                <w:szCs w:val="22"/>
              </w:rPr>
              <w:t>0</w:t>
            </w:r>
          </w:p>
        </w:tc>
        <w:tc>
          <w:tcPr>
            <w:tcW w:w="992" w:type="dxa"/>
          </w:tcPr>
          <w:p w:rsidR="00047C28" w:rsidRPr="005069A3" w:rsidRDefault="00047C28" w:rsidP="00047C28">
            <w:pPr>
              <w:pStyle w:val="BodyText"/>
              <w:rPr>
                <w:rFonts w:cs="Arial"/>
                <w:szCs w:val="22"/>
              </w:rPr>
            </w:pPr>
            <w:r w:rsidRPr="005069A3">
              <w:rPr>
                <w:rFonts w:cs="Arial"/>
                <w:sz w:val="22"/>
                <w:szCs w:val="22"/>
              </w:rPr>
              <w:t>0</w:t>
            </w:r>
          </w:p>
        </w:tc>
        <w:tc>
          <w:tcPr>
            <w:tcW w:w="993" w:type="dxa"/>
          </w:tcPr>
          <w:p w:rsidR="00047C28" w:rsidRPr="005069A3" w:rsidRDefault="00047C28" w:rsidP="00047C28">
            <w:pPr>
              <w:pStyle w:val="BodyText"/>
              <w:rPr>
                <w:rFonts w:cs="Arial"/>
                <w:szCs w:val="22"/>
              </w:rPr>
            </w:pPr>
            <w:r w:rsidRPr="005069A3">
              <w:rPr>
                <w:rFonts w:cs="Arial"/>
                <w:sz w:val="22"/>
                <w:szCs w:val="22"/>
              </w:rPr>
              <w:t>0</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NORTH AMERICA</w:t>
            </w:r>
          </w:p>
        </w:tc>
        <w:tc>
          <w:tcPr>
            <w:tcW w:w="1134" w:type="dxa"/>
          </w:tcPr>
          <w:p w:rsidR="00047C28" w:rsidRPr="005069A3" w:rsidRDefault="00047C28" w:rsidP="00047C28">
            <w:pPr>
              <w:pStyle w:val="BodyText"/>
              <w:rPr>
                <w:rFonts w:cs="Arial"/>
                <w:szCs w:val="22"/>
              </w:rPr>
            </w:pPr>
            <w:r w:rsidRPr="005069A3">
              <w:rPr>
                <w:rFonts w:cs="Arial"/>
                <w:sz w:val="22"/>
                <w:szCs w:val="22"/>
              </w:rPr>
              <w:t>7</w:t>
            </w:r>
          </w:p>
        </w:tc>
        <w:tc>
          <w:tcPr>
            <w:tcW w:w="1417" w:type="dxa"/>
          </w:tcPr>
          <w:p w:rsidR="00047C28" w:rsidRPr="005069A3" w:rsidRDefault="00047C28" w:rsidP="00047C28">
            <w:pPr>
              <w:pStyle w:val="BodyText"/>
              <w:rPr>
                <w:rFonts w:cs="Arial"/>
                <w:szCs w:val="22"/>
              </w:rPr>
            </w:pPr>
            <w:r w:rsidRPr="005069A3">
              <w:rPr>
                <w:rFonts w:cs="Arial"/>
                <w:sz w:val="22"/>
                <w:szCs w:val="22"/>
              </w:rPr>
              <w:t>96</w:t>
            </w:r>
          </w:p>
        </w:tc>
        <w:tc>
          <w:tcPr>
            <w:tcW w:w="709" w:type="dxa"/>
          </w:tcPr>
          <w:p w:rsidR="00047C28" w:rsidRPr="005069A3" w:rsidRDefault="00047C28" w:rsidP="00047C28">
            <w:pPr>
              <w:pStyle w:val="BodyText"/>
              <w:rPr>
                <w:rFonts w:cs="Arial"/>
                <w:szCs w:val="22"/>
              </w:rPr>
            </w:pPr>
            <w:r w:rsidRPr="005069A3">
              <w:rPr>
                <w:rFonts w:cs="Arial"/>
                <w:sz w:val="22"/>
                <w:szCs w:val="22"/>
              </w:rPr>
              <w:t>59</w:t>
            </w:r>
          </w:p>
        </w:tc>
        <w:tc>
          <w:tcPr>
            <w:tcW w:w="992" w:type="dxa"/>
          </w:tcPr>
          <w:p w:rsidR="00047C28" w:rsidRPr="005069A3" w:rsidRDefault="00047C28" w:rsidP="00047C28">
            <w:pPr>
              <w:pStyle w:val="BodyText"/>
              <w:rPr>
                <w:rFonts w:cs="Arial"/>
                <w:szCs w:val="22"/>
              </w:rPr>
            </w:pPr>
            <w:r w:rsidRPr="005069A3">
              <w:rPr>
                <w:rFonts w:cs="Arial"/>
                <w:sz w:val="22"/>
                <w:szCs w:val="22"/>
              </w:rPr>
              <w:t>20</w:t>
            </w:r>
          </w:p>
        </w:tc>
        <w:tc>
          <w:tcPr>
            <w:tcW w:w="993" w:type="dxa"/>
          </w:tcPr>
          <w:p w:rsidR="00047C28" w:rsidRPr="005069A3" w:rsidRDefault="00047C28" w:rsidP="00047C28">
            <w:pPr>
              <w:pStyle w:val="BodyText"/>
              <w:rPr>
                <w:rFonts w:cs="Arial"/>
                <w:szCs w:val="22"/>
              </w:rPr>
            </w:pPr>
            <w:r w:rsidRPr="005069A3">
              <w:rPr>
                <w:rFonts w:cs="Arial"/>
                <w:sz w:val="22"/>
                <w:szCs w:val="22"/>
              </w:rPr>
              <w:t>6</w:t>
            </w:r>
          </w:p>
        </w:tc>
        <w:tc>
          <w:tcPr>
            <w:tcW w:w="1134" w:type="dxa"/>
          </w:tcPr>
          <w:p w:rsidR="00047C28" w:rsidRPr="005069A3" w:rsidRDefault="00047C28" w:rsidP="00047C28">
            <w:pPr>
              <w:pStyle w:val="BodyText"/>
              <w:rPr>
                <w:rFonts w:cs="Arial"/>
                <w:szCs w:val="22"/>
              </w:rPr>
            </w:pPr>
            <w:r w:rsidRPr="005069A3">
              <w:rPr>
                <w:rFonts w:cs="Arial"/>
                <w:sz w:val="22"/>
                <w:szCs w:val="22"/>
              </w:rPr>
              <w:t>11</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UK</w:t>
            </w:r>
          </w:p>
        </w:tc>
        <w:tc>
          <w:tcPr>
            <w:tcW w:w="1134" w:type="dxa"/>
          </w:tcPr>
          <w:p w:rsidR="00047C28" w:rsidRPr="005069A3" w:rsidRDefault="00047C28" w:rsidP="00047C28">
            <w:pPr>
              <w:pStyle w:val="BodyText"/>
              <w:rPr>
                <w:rFonts w:cs="Arial"/>
                <w:szCs w:val="22"/>
              </w:rPr>
            </w:pPr>
            <w:r w:rsidRPr="005069A3">
              <w:rPr>
                <w:rFonts w:cs="Arial"/>
                <w:sz w:val="22"/>
                <w:szCs w:val="22"/>
              </w:rPr>
              <w:t>7</w:t>
            </w:r>
          </w:p>
        </w:tc>
        <w:tc>
          <w:tcPr>
            <w:tcW w:w="1417" w:type="dxa"/>
          </w:tcPr>
          <w:p w:rsidR="00047C28" w:rsidRPr="005069A3" w:rsidRDefault="00047C28" w:rsidP="00047C28">
            <w:pPr>
              <w:pStyle w:val="BodyText"/>
              <w:rPr>
                <w:rFonts w:cs="Arial"/>
                <w:szCs w:val="22"/>
              </w:rPr>
            </w:pPr>
            <w:r w:rsidRPr="005069A3">
              <w:rPr>
                <w:rFonts w:cs="Arial"/>
                <w:sz w:val="22"/>
                <w:szCs w:val="22"/>
              </w:rPr>
              <w:t>136</w:t>
            </w:r>
          </w:p>
        </w:tc>
        <w:tc>
          <w:tcPr>
            <w:tcW w:w="709" w:type="dxa"/>
          </w:tcPr>
          <w:p w:rsidR="00047C28" w:rsidRPr="005069A3" w:rsidRDefault="00047C28" w:rsidP="00047C28">
            <w:pPr>
              <w:pStyle w:val="BodyText"/>
              <w:rPr>
                <w:rFonts w:cs="Arial"/>
                <w:szCs w:val="22"/>
              </w:rPr>
            </w:pPr>
            <w:r w:rsidRPr="005069A3">
              <w:rPr>
                <w:rFonts w:cs="Arial"/>
                <w:sz w:val="22"/>
                <w:szCs w:val="22"/>
              </w:rPr>
              <w:t>105</w:t>
            </w:r>
          </w:p>
        </w:tc>
        <w:tc>
          <w:tcPr>
            <w:tcW w:w="992" w:type="dxa"/>
          </w:tcPr>
          <w:p w:rsidR="00047C28" w:rsidRPr="005069A3" w:rsidRDefault="00047C28" w:rsidP="00047C28">
            <w:pPr>
              <w:pStyle w:val="BodyText"/>
              <w:rPr>
                <w:rFonts w:cs="Arial"/>
                <w:szCs w:val="22"/>
              </w:rPr>
            </w:pPr>
            <w:r w:rsidRPr="005069A3">
              <w:rPr>
                <w:rFonts w:cs="Arial"/>
                <w:sz w:val="22"/>
                <w:szCs w:val="22"/>
              </w:rPr>
              <w:t>12</w:t>
            </w:r>
          </w:p>
        </w:tc>
        <w:tc>
          <w:tcPr>
            <w:tcW w:w="993" w:type="dxa"/>
          </w:tcPr>
          <w:p w:rsidR="00047C28" w:rsidRPr="005069A3" w:rsidRDefault="00047C28" w:rsidP="00047C28">
            <w:pPr>
              <w:pStyle w:val="BodyText"/>
              <w:rPr>
                <w:rFonts w:cs="Arial"/>
                <w:szCs w:val="22"/>
              </w:rPr>
            </w:pPr>
            <w:r w:rsidRPr="005069A3">
              <w:rPr>
                <w:rFonts w:cs="Arial"/>
                <w:sz w:val="22"/>
                <w:szCs w:val="22"/>
              </w:rPr>
              <w:t>19</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EU</w:t>
            </w:r>
          </w:p>
        </w:tc>
        <w:tc>
          <w:tcPr>
            <w:tcW w:w="1134" w:type="dxa"/>
          </w:tcPr>
          <w:p w:rsidR="00047C28" w:rsidRPr="005069A3" w:rsidRDefault="00047C28" w:rsidP="00047C28">
            <w:pPr>
              <w:pStyle w:val="BodyText"/>
              <w:rPr>
                <w:rFonts w:cs="Arial"/>
                <w:szCs w:val="22"/>
              </w:rPr>
            </w:pPr>
            <w:r w:rsidRPr="005069A3">
              <w:rPr>
                <w:rFonts w:cs="Arial"/>
                <w:sz w:val="22"/>
                <w:szCs w:val="22"/>
              </w:rPr>
              <w:t>6</w:t>
            </w:r>
          </w:p>
        </w:tc>
        <w:tc>
          <w:tcPr>
            <w:tcW w:w="1417" w:type="dxa"/>
          </w:tcPr>
          <w:p w:rsidR="00047C28" w:rsidRPr="005069A3" w:rsidRDefault="00047C28" w:rsidP="00047C28">
            <w:pPr>
              <w:pStyle w:val="BodyText"/>
              <w:rPr>
                <w:rFonts w:cs="Arial"/>
                <w:szCs w:val="22"/>
              </w:rPr>
            </w:pPr>
            <w:r w:rsidRPr="005069A3">
              <w:rPr>
                <w:rFonts w:cs="Arial"/>
                <w:sz w:val="22"/>
                <w:szCs w:val="22"/>
              </w:rPr>
              <w:t>85</w:t>
            </w:r>
          </w:p>
        </w:tc>
        <w:tc>
          <w:tcPr>
            <w:tcW w:w="709" w:type="dxa"/>
          </w:tcPr>
          <w:p w:rsidR="00047C28" w:rsidRPr="005069A3" w:rsidRDefault="00047C28" w:rsidP="00047C28">
            <w:pPr>
              <w:pStyle w:val="BodyText"/>
              <w:rPr>
                <w:rFonts w:cs="Arial"/>
                <w:szCs w:val="22"/>
              </w:rPr>
            </w:pPr>
            <w:r w:rsidRPr="005069A3">
              <w:rPr>
                <w:rFonts w:cs="Arial"/>
                <w:sz w:val="22"/>
                <w:szCs w:val="22"/>
              </w:rPr>
              <w:t>34</w:t>
            </w:r>
          </w:p>
        </w:tc>
        <w:tc>
          <w:tcPr>
            <w:tcW w:w="992" w:type="dxa"/>
          </w:tcPr>
          <w:p w:rsidR="00047C28" w:rsidRPr="005069A3" w:rsidRDefault="00047C28" w:rsidP="00047C28">
            <w:pPr>
              <w:pStyle w:val="BodyText"/>
              <w:rPr>
                <w:rFonts w:cs="Arial"/>
                <w:szCs w:val="22"/>
              </w:rPr>
            </w:pPr>
            <w:r w:rsidRPr="005069A3">
              <w:rPr>
                <w:rFonts w:cs="Arial"/>
                <w:sz w:val="22"/>
                <w:szCs w:val="22"/>
              </w:rPr>
              <w:t>36</w:t>
            </w:r>
          </w:p>
        </w:tc>
        <w:tc>
          <w:tcPr>
            <w:tcW w:w="993" w:type="dxa"/>
          </w:tcPr>
          <w:p w:rsidR="00047C28" w:rsidRPr="005069A3" w:rsidRDefault="00047C28" w:rsidP="00047C28">
            <w:pPr>
              <w:pStyle w:val="BodyText"/>
              <w:rPr>
                <w:rFonts w:cs="Arial"/>
                <w:szCs w:val="22"/>
              </w:rPr>
            </w:pPr>
            <w:r w:rsidRPr="005069A3">
              <w:rPr>
                <w:rFonts w:cs="Arial"/>
                <w:sz w:val="22"/>
                <w:szCs w:val="22"/>
              </w:rPr>
              <w:t>8</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6</w:t>
            </w:r>
          </w:p>
        </w:tc>
      </w:tr>
      <w:tr w:rsidR="00047C28" w:rsidRPr="005069A3" w:rsidTr="00DA2A86">
        <w:tc>
          <w:tcPr>
            <w:tcW w:w="1526" w:type="dxa"/>
          </w:tcPr>
          <w:p w:rsidR="00047C28" w:rsidRPr="005069A3" w:rsidRDefault="00047C28" w:rsidP="00047C28">
            <w:pPr>
              <w:pStyle w:val="BodyText"/>
              <w:rPr>
                <w:rFonts w:cs="Arial"/>
                <w:szCs w:val="22"/>
              </w:rPr>
            </w:pPr>
            <w:r w:rsidRPr="005069A3">
              <w:rPr>
                <w:rFonts w:cs="Arial"/>
                <w:sz w:val="22"/>
                <w:szCs w:val="22"/>
              </w:rPr>
              <w:t>JAPAN</w:t>
            </w:r>
          </w:p>
        </w:tc>
        <w:tc>
          <w:tcPr>
            <w:tcW w:w="1134" w:type="dxa"/>
          </w:tcPr>
          <w:p w:rsidR="00047C28" w:rsidRPr="005069A3" w:rsidRDefault="00047C28" w:rsidP="00047C28">
            <w:pPr>
              <w:pStyle w:val="BodyText"/>
              <w:rPr>
                <w:rFonts w:cs="Arial"/>
                <w:szCs w:val="22"/>
              </w:rPr>
            </w:pPr>
            <w:r w:rsidRPr="005069A3">
              <w:rPr>
                <w:rFonts w:cs="Arial"/>
                <w:sz w:val="22"/>
                <w:szCs w:val="22"/>
              </w:rPr>
              <w:t>1</w:t>
            </w:r>
          </w:p>
        </w:tc>
        <w:tc>
          <w:tcPr>
            <w:tcW w:w="1417" w:type="dxa"/>
          </w:tcPr>
          <w:p w:rsidR="00047C28" w:rsidRPr="005069A3" w:rsidRDefault="00047C28" w:rsidP="00047C28">
            <w:pPr>
              <w:pStyle w:val="BodyText"/>
              <w:rPr>
                <w:rFonts w:cs="Arial"/>
                <w:szCs w:val="22"/>
              </w:rPr>
            </w:pPr>
            <w:r w:rsidRPr="005069A3">
              <w:rPr>
                <w:rFonts w:cs="Arial"/>
                <w:sz w:val="22"/>
                <w:szCs w:val="22"/>
              </w:rPr>
              <w:t>9</w:t>
            </w:r>
          </w:p>
        </w:tc>
        <w:tc>
          <w:tcPr>
            <w:tcW w:w="709" w:type="dxa"/>
          </w:tcPr>
          <w:p w:rsidR="00047C28" w:rsidRPr="005069A3" w:rsidRDefault="00047C28" w:rsidP="00047C28">
            <w:pPr>
              <w:pStyle w:val="BodyText"/>
              <w:rPr>
                <w:rFonts w:cs="Arial"/>
                <w:szCs w:val="22"/>
              </w:rPr>
            </w:pPr>
            <w:r w:rsidRPr="005069A3">
              <w:rPr>
                <w:rFonts w:cs="Arial"/>
                <w:sz w:val="22"/>
                <w:szCs w:val="22"/>
              </w:rPr>
              <w:t>5</w:t>
            </w:r>
          </w:p>
        </w:tc>
        <w:tc>
          <w:tcPr>
            <w:tcW w:w="992" w:type="dxa"/>
          </w:tcPr>
          <w:p w:rsidR="00047C28" w:rsidRPr="005069A3" w:rsidRDefault="00047C28" w:rsidP="00047C28">
            <w:pPr>
              <w:pStyle w:val="BodyText"/>
              <w:rPr>
                <w:rFonts w:cs="Arial"/>
                <w:szCs w:val="22"/>
              </w:rPr>
            </w:pPr>
            <w:r w:rsidRPr="005069A3">
              <w:rPr>
                <w:rFonts w:cs="Arial"/>
                <w:sz w:val="22"/>
                <w:szCs w:val="22"/>
              </w:rPr>
              <w:t>4</w:t>
            </w:r>
          </w:p>
        </w:tc>
        <w:tc>
          <w:tcPr>
            <w:tcW w:w="993" w:type="dxa"/>
          </w:tcPr>
          <w:p w:rsidR="00047C28" w:rsidRPr="005069A3" w:rsidRDefault="00047C28" w:rsidP="00047C28">
            <w:pPr>
              <w:pStyle w:val="BodyText"/>
              <w:rPr>
                <w:rFonts w:cs="Arial"/>
                <w:szCs w:val="22"/>
              </w:rPr>
            </w:pPr>
            <w:r w:rsidRPr="005069A3">
              <w:rPr>
                <w:rFonts w:cs="Arial"/>
                <w:sz w:val="22"/>
                <w:szCs w:val="22"/>
              </w:rPr>
              <w:t>0</w:t>
            </w:r>
          </w:p>
        </w:tc>
        <w:tc>
          <w:tcPr>
            <w:tcW w:w="1134" w:type="dxa"/>
          </w:tcPr>
          <w:p w:rsidR="00047C28" w:rsidRPr="005069A3" w:rsidRDefault="00047C28" w:rsidP="00047C28">
            <w:pPr>
              <w:pStyle w:val="BodyText"/>
              <w:rPr>
                <w:rFonts w:cs="Arial"/>
                <w:szCs w:val="22"/>
              </w:rPr>
            </w:pPr>
            <w:r w:rsidRPr="005069A3">
              <w:rPr>
                <w:rFonts w:cs="Arial"/>
                <w:sz w:val="22"/>
                <w:szCs w:val="22"/>
              </w:rPr>
              <w:t>0</w:t>
            </w:r>
          </w:p>
        </w:tc>
        <w:tc>
          <w:tcPr>
            <w:tcW w:w="1275" w:type="dxa"/>
          </w:tcPr>
          <w:p w:rsidR="00047C28" w:rsidRPr="005069A3" w:rsidRDefault="00047C28" w:rsidP="00047C28">
            <w:pPr>
              <w:pStyle w:val="BodyText"/>
              <w:rPr>
                <w:rFonts w:cs="Arial"/>
                <w:szCs w:val="22"/>
              </w:rPr>
            </w:pPr>
            <w:r w:rsidRPr="005069A3">
              <w:rPr>
                <w:rFonts w:cs="Arial"/>
                <w:sz w:val="22"/>
                <w:szCs w:val="22"/>
              </w:rPr>
              <w:t>0</w:t>
            </w:r>
          </w:p>
        </w:tc>
      </w:tr>
    </w:tbl>
    <w:p w:rsidR="00047C28" w:rsidRDefault="00047C28" w:rsidP="00047C28">
      <w:pPr>
        <w:rPr>
          <w:rFonts w:cs="Arial"/>
          <w:b/>
          <w:sz w:val="22"/>
          <w:szCs w:val="22"/>
        </w:rPr>
      </w:pPr>
      <w:r w:rsidRPr="008F368A">
        <w:rPr>
          <w:rFonts w:cs="Arial"/>
          <w:b/>
          <w:sz w:val="22"/>
          <w:szCs w:val="22"/>
        </w:rPr>
        <w:t>TABLE 2: ANALYSIS OF UK ALLSHARE VOTING RECOMMENDATIONS</w:t>
      </w:r>
    </w:p>
    <w:p w:rsidR="007A53CF" w:rsidRPr="008F368A" w:rsidRDefault="007A53CF" w:rsidP="00047C28">
      <w:pPr>
        <w:rPr>
          <w:rFonts w:cs="Arial"/>
          <w:b/>
          <w:sz w:val="22"/>
          <w:szCs w:val="22"/>
        </w:rPr>
      </w:pP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tblPr>
      <w:tblGrid>
        <w:gridCol w:w="1802"/>
        <w:gridCol w:w="546"/>
        <w:gridCol w:w="1402"/>
        <w:gridCol w:w="950"/>
        <w:gridCol w:w="1402"/>
        <w:gridCol w:w="987"/>
        <w:gridCol w:w="1402"/>
        <w:gridCol w:w="706"/>
      </w:tblGrid>
      <w:tr w:rsidR="00047C28" w:rsidRPr="005069A3" w:rsidTr="00047C28">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Resolution Type</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For</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Percentage %</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Abstain</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Percentage %</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Oppose</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Percentage %</w:t>
            </w:r>
          </w:p>
        </w:tc>
        <w:tc>
          <w:tcPr>
            <w:tcW w:w="0" w:type="auto"/>
            <w:shd w:val="clear" w:color="auto" w:fill="548DD4" w:themeFill="text2" w:themeFillTint="99"/>
          </w:tcPr>
          <w:p w:rsidR="00047C28" w:rsidRPr="005069A3" w:rsidRDefault="00047C28" w:rsidP="00047C28">
            <w:pPr>
              <w:pStyle w:val="BodyText"/>
              <w:jc w:val="center"/>
              <w:rPr>
                <w:rFonts w:cs="Arial"/>
                <w:szCs w:val="22"/>
              </w:rPr>
            </w:pPr>
            <w:r w:rsidRPr="005069A3">
              <w:rPr>
                <w:rFonts w:cs="Arial"/>
                <w:sz w:val="22"/>
                <w:szCs w:val="22"/>
              </w:rPr>
              <w:t>Total</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Annual Reports</w:t>
            </w:r>
          </w:p>
        </w:tc>
        <w:tc>
          <w:tcPr>
            <w:tcW w:w="0" w:type="auto"/>
          </w:tcPr>
          <w:p w:rsidR="00047C28" w:rsidRPr="005069A3" w:rsidRDefault="00047C28" w:rsidP="00047C28">
            <w:pPr>
              <w:pStyle w:val="BodyText"/>
              <w:rPr>
                <w:rFonts w:cs="Arial"/>
                <w:szCs w:val="22"/>
              </w:rPr>
            </w:pPr>
            <w:r w:rsidRPr="005069A3">
              <w:rPr>
                <w:rFonts w:cs="Arial"/>
                <w:sz w:val="22"/>
                <w:szCs w:val="22"/>
              </w:rPr>
              <w:t>4</w:t>
            </w:r>
          </w:p>
        </w:tc>
        <w:tc>
          <w:tcPr>
            <w:tcW w:w="0" w:type="auto"/>
          </w:tcPr>
          <w:p w:rsidR="00047C28" w:rsidRPr="005069A3" w:rsidRDefault="00047C28" w:rsidP="00047C28">
            <w:pPr>
              <w:pStyle w:val="BodyText"/>
              <w:rPr>
                <w:rFonts w:cs="Arial"/>
                <w:szCs w:val="22"/>
              </w:rPr>
            </w:pPr>
            <w:r w:rsidRPr="005069A3">
              <w:rPr>
                <w:rFonts w:cs="Arial"/>
                <w:sz w:val="22"/>
                <w:szCs w:val="22"/>
              </w:rPr>
              <w:t>57.14</w:t>
            </w:r>
          </w:p>
        </w:tc>
        <w:tc>
          <w:tcPr>
            <w:tcW w:w="0" w:type="auto"/>
          </w:tcPr>
          <w:p w:rsidR="00047C28" w:rsidRPr="005069A3" w:rsidRDefault="00047C28" w:rsidP="00047C28">
            <w:pPr>
              <w:pStyle w:val="BodyText"/>
              <w:rPr>
                <w:rFonts w:cs="Arial"/>
                <w:szCs w:val="22"/>
              </w:rPr>
            </w:pPr>
            <w:r w:rsidRPr="005069A3">
              <w:rPr>
                <w:rFonts w:cs="Arial"/>
                <w:sz w:val="22"/>
                <w:szCs w:val="22"/>
              </w:rPr>
              <w:t>2</w:t>
            </w:r>
          </w:p>
        </w:tc>
        <w:tc>
          <w:tcPr>
            <w:tcW w:w="0" w:type="auto"/>
          </w:tcPr>
          <w:p w:rsidR="00047C28" w:rsidRPr="005069A3" w:rsidRDefault="00047C28" w:rsidP="00047C28">
            <w:pPr>
              <w:pStyle w:val="BodyText"/>
              <w:rPr>
                <w:rFonts w:cs="Arial"/>
                <w:szCs w:val="22"/>
              </w:rPr>
            </w:pPr>
            <w:r w:rsidRPr="005069A3">
              <w:rPr>
                <w:rFonts w:cs="Arial"/>
                <w:sz w:val="22"/>
                <w:szCs w:val="22"/>
              </w:rPr>
              <w:t>28.57</w:t>
            </w:r>
          </w:p>
        </w:tc>
        <w:tc>
          <w:tcPr>
            <w:tcW w:w="0" w:type="auto"/>
          </w:tcPr>
          <w:p w:rsidR="00047C28" w:rsidRPr="005069A3" w:rsidRDefault="00047C28" w:rsidP="00047C28">
            <w:pPr>
              <w:pStyle w:val="BodyText"/>
              <w:rPr>
                <w:rFonts w:cs="Arial"/>
                <w:szCs w:val="22"/>
              </w:rPr>
            </w:pPr>
            <w:r w:rsidRPr="005069A3">
              <w:rPr>
                <w:rFonts w:cs="Arial"/>
                <w:sz w:val="22"/>
                <w:szCs w:val="22"/>
              </w:rPr>
              <w:t>1</w:t>
            </w:r>
          </w:p>
        </w:tc>
        <w:tc>
          <w:tcPr>
            <w:tcW w:w="0" w:type="auto"/>
          </w:tcPr>
          <w:p w:rsidR="00047C28" w:rsidRPr="005069A3" w:rsidRDefault="00047C28" w:rsidP="00047C28">
            <w:pPr>
              <w:pStyle w:val="BodyText"/>
              <w:rPr>
                <w:rFonts w:cs="Arial"/>
                <w:szCs w:val="22"/>
              </w:rPr>
            </w:pPr>
            <w:r w:rsidRPr="005069A3">
              <w:rPr>
                <w:rFonts w:cs="Arial"/>
                <w:sz w:val="22"/>
                <w:szCs w:val="22"/>
              </w:rPr>
              <w:t>14.29</w:t>
            </w:r>
          </w:p>
        </w:tc>
        <w:tc>
          <w:tcPr>
            <w:tcW w:w="0" w:type="auto"/>
          </w:tcPr>
          <w:p w:rsidR="00047C28" w:rsidRPr="005069A3" w:rsidRDefault="00047C28" w:rsidP="00047C28">
            <w:pPr>
              <w:pStyle w:val="BodyText"/>
              <w:rPr>
                <w:rFonts w:cs="Arial"/>
                <w:szCs w:val="22"/>
              </w:rPr>
            </w:pPr>
            <w:r w:rsidRPr="005069A3">
              <w:rPr>
                <w:rFonts w:cs="Arial"/>
                <w:sz w:val="22"/>
                <w:szCs w:val="22"/>
              </w:rPr>
              <w:t>7</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Remuneration Reports</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2</w:t>
            </w:r>
          </w:p>
        </w:tc>
        <w:tc>
          <w:tcPr>
            <w:tcW w:w="0" w:type="auto"/>
          </w:tcPr>
          <w:p w:rsidR="00047C28" w:rsidRPr="005069A3" w:rsidRDefault="00047C28" w:rsidP="00047C28">
            <w:pPr>
              <w:pStyle w:val="BodyText"/>
              <w:rPr>
                <w:rFonts w:cs="Arial"/>
                <w:szCs w:val="22"/>
              </w:rPr>
            </w:pPr>
            <w:r w:rsidRPr="005069A3">
              <w:rPr>
                <w:rFonts w:cs="Arial"/>
                <w:sz w:val="22"/>
                <w:szCs w:val="22"/>
              </w:rPr>
              <w:t>28.57</w:t>
            </w:r>
          </w:p>
        </w:tc>
        <w:tc>
          <w:tcPr>
            <w:tcW w:w="0" w:type="auto"/>
          </w:tcPr>
          <w:p w:rsidR="00047C28" w:rsidRPr="005069A3" w:rsidRDefault="00047C28" w:rsidP="00047C28">
            <w:pPr>
              <w:pStyle w:val="BodyText"/>
              <w:rPr>
                <w:rFonts w:cs="Arial"/>
                <w:szCs w:val="22"/>
              </w:rPr>
            </w:pPr>
            <w:r w:rsidRPr="005069A3">
              <w:rPr>
                <w:rFonts w:cs="Arial"/>
                <w:sz w:val="22"/>
                <w:szCs w:val="22"/>
              </w:rPr>
              <w:t>5</w:t>
            </w:r>
          </w:p>
        </w:tc>
        <w:tc>
          <w:tcPr>
            <w:tcW w:w="0" w:type="auto"/>
          </w:tcPr>
          <w:p w:rsidR="00047C28" w:rsidRPr="005069A3" w:rsidRDefault="00047C28" w:rsidP="00047C28">
            <w:pPr>
              <w:pStyle w:val="BodyText"/>
              <w:rPr>
                <w:rFonts w:cs="Arial"/>
                <w:szCs w:val="22"/>
              </w:rPr>
            </w:pPr>
            <w:r w:rsidRPr="005069A3">
              <w:rPr>
                <w:rFonts w:cs="Arial"/>
                <w:sz w:val="22"/>
                <w:szCs w:val="22"/>
              </w:rPr>
              <w:t>71.43</w:t>
            </w:r>
          </w:p>
        </w:tc>
        <w:tc>
          <w:tcPr>
            <w:tcW w:w="0" w:type="auto"/>
          </w:tcPr>
          <w:p w:rsidR="00047C28" w:rsidRPr="005069A3" w:rsidRDefault="00047C28" w:rsidP="00047C28">
            <w:pPr>
              <w:pStyle w:val="BodyText"/>
              <w:rPr>
                <w:rFonts w:cs="Arial"/>
                <w:szCs w:val="22"/>
              </w:rPr>
            </w:pPr>
            <w:r w:rsidRPr="005069A3">
              <w:rPr>
                <w:rFonts w:cs="Arial"/>
                <w:sz w:val="22"/>
                <w:szCs w:val="22"/>
              </w:rPr>
              <w:t>7</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Articles of Association</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p>
        </w:tc>
        <w:tc>
          <w:tcPr>
            <w:tcW w:w="0" w:type="auto"/>
          </w:tcPr>
          <w:p w:rsidR="00047C28" w:rsidRPr="005069A3" w:rsidRDefault="00047C28" w:rsidP="00047C28">
            <w:pPr>
              <w:pStyle w:val="BodyText"/>
              <w:rPr>
                <w:rFonts w:cs="Arial"/>
                <w:szCs w:val="22"/>
              </w:rPr>
            </w:pPr>
            <w:r w:rsidRPr="005069A3">
              <w:rPr>
                <w:rFonts w:cs="Arial"/>
                <w:sz w:val="22"/>
                <w:szCs w:val="22"/>
              </w:rPr>
              <w:t>0</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Auditors Appointment</w:t>
            </w:r>
          </w:p>
        </w:tc>
        <w:tc>
          <w:tcPr>
            <w:tcW w:w="0" w:type="auto"/>
          </w:tcPr>
          <w:p w:rsidR="00047C28" w:rsidRPr="005069A3" w:rsidRDefault="00047C28" w:rsidP="00047C28">
            <w:pPr>
              <w:pStyle w:val="BodyText"/>
              <w:rPr>
                <w:rFonts w:cs="Arial"/>
                <w:szCs w:val="22"/>
              </w:rPr>
            </w:pPr>
            <w:r w:rsidRPr="005069A3">
              <w:rPr>
                <w:rFonts w:cs="Arial"/>
                <w:sz w:val="22"/>
                <w:szCs w:val="22"/>
              </w:rPr>
              <w:t>4</w:t>
            </w:r>
          </w:p>
        </w:tc>
        <w:tc>
          <w:tcPr>
            <w:tcW w:w="0" w:type="auto"/>
          </w:tcPr>
          <w:p w:rsidR="00047C28" w:rsidRPr="005069A3" w:rsidRDefault="00047C28" w:rsidP="00047C28">
            <w:pPr>
              <w:pStyle w:val="BodyText"/>
              <w:rPr>
                <w:rFonts w:cs="Arial"/>
                <w:szCs w:val="22"/>
              </w:rPr>
            </w:pPr>
            <w:r w:rsidRPr="005069A3">
              <w:rPr>
                <w:rFonts w:cs="Arial"/>
                <w:sz w:val="22"/>
                <w:szCs w:val="22"/>
              </w:rPr>
              <w:t>57.14</w:t>
            </w:r>
          </w:p>
        </w:tc>
        <w:tc>
          <w:tcPr>
            <w:tcW w:w="0" w:type="auto"/>
          </w:tcPr>
          <w:p w:rsidR="00047C28" w:rsidRPr="005069A3" w:rsidRDefault="00047C28" w:rsidP="00047C28">
            <w:pPr>
              <w:pStyle w:val="BodyText"/>
              <w:rPr>
                <w:rFonts w:cs="Arial"/>
                <w:szCs w:val="22"/>
              </w:rPr>
            </w:pPr>
            <w:r w:rsidRPr="005069A3">
              <w:rPr>
                <w:rFonts w:cs="Arial"/>
                <w:sz w:val="22"/>
                <w:szCs w:val="22"/>
              </w:rPr>
              <w:t>3</w:t>
            </w:r>
          </w:p>
        </w:tc>
        <w:tc>
          <w:tcPr>
            <w:tcW w:w="0" w:type="auto"/>
          </w:tcPr>
          <w:p w:rsidR="00047C28" w:rsidRPr="005069A3" w:rsidRDefault="00047C28" w:rsidP="00047C28">
            <w:pPr>
              <w:pStyle w:val="BodyText"/>
              <w:rPr>
                <w:rFonts w:cs="Arial"/>
                <w:szCs w:val="22"/>
              </w:rPr>
            </w:pPr>
            <w:r w:rsidRPr="005069A3">
              <w:rPr>
                <w:rFonts w:cs="Arial"/>
                <w:sz w:val="22"/>
                <w:szCs w:val="22"/>
              </w:rPr>
              <w:t>42.86</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7</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Directors</w:t>
            </w:r>
          </w:p>
        </w:tc>
        <w:tc>
          <w:tcPr>
            <w:tcW w:w="0" w:type="auto"/>
          </w:tcPr>
          <w:p w:rsidR="00047C28" w:rsidRPr="005069A3" w:rsidRDefault="00047C28" w:rsidP="00047C28">
            <w:pPr>
              <w:pStyle w:val="BodyText"/>
              <w:rPr>
                <w:rFonts w:cs="Arial"/>
                <w:szCs w:val="22"/>
              </w:rPr>
            </w:pPr>
            <w:r w:rsidRPr="005069A3">
              <w:rPr>
                <w:rFonts w:cs="Arial"/>
                <w:sz w:val="22"/>
                <w:szCs w:val="22"/>
              </w:rPr>
              <w:t>55</w:t>
            </w:r>
          </w:p>
        </w:tc>
        <w:tc>
          <w:tcPr>
            <w:tcW w:w="0" w:type="auto"/>
          </w:tcPr>
          <w:p w:rsidR="00047C28" w:rsidRPr="005069A3" w:rsidRDefault="00047C28" w:rsidP="00047C28">
            <w:pPr>
              <w:pStyle w:val="BodyText"/>
              <w:rPr>
                <w:rFonts w:cs="Arial"/>
                <w:szCs w:val="22"/>
              </w:rPr>
            </w:pPr>
            <w:r w:rsidRPr="005069A3">
              <w:rPr>
                <w:rFonts w:cs="Arial"/>
                <w:sz w:val="22"/>
                <w:szCs w:val="22"/>
              </w:rPr>
              <w:t>77.46</w:t>
            </w:r>
          </w:p>
        </w:tc>
        <w:tc>
          <w:tcPr>
            <w:tcW w:w="0" w:type="auto"/>
          </w:tcPr>
          <w:p w:rsidR="00047C28" w:rsidRPr="005069A3" w:rsidRDefault="00047C28" w:rsidP="00047C28">
            <w:pPr>
              <w:pStyle w:val="BodyText"/>
              <w:rPr>
                <w:rFonts w:cs="Arial"/>
                <w:szCs w:val="22"/>
              </w:rPr>
            </w:pPr>
            <w:r w:rsidRPr="005069A3">
              <w:rPr>
                <w:rFonts w:cs="Arial"/>
                <w:sz w:val="22"/>
                <w:szCs w:val="22"/>
              </w:rPr>
              <w:t>12</w:t>
            </w:r>
          </w:p>
        </w:tc>
        <w:tc>
          <w:tcPr>
            <w:tcW w:w="0" w:type="auto"/>
          </w:tcPr>
          <w:p w:rsidR="00047C28" w:rsidRPr="005069A3" w:rsidRDefault="00047C28" w:rsidP="00047C28">
            <w:pPr>
              <w:pStyle w:val="BodyText"/>
              <w:rPr>
                <w:rFonts w:cs="Arial"/>
                <w:szCs w:val="22"/>
              </w:rPr>
            </w:pPr>
            <w:r w:rsidRPr="005069A3">
              <w:rPr>
                <w:rFonts w:cs="Arial"/>
                <w:sz w:val="22"/>
                <w:szCs w:val="22"/>
              </w:rPr>
              <w:t>16.9</w:t>
            </w:r>
          </w:p>
        </w:tc>
        <w:tc>
          <w:tcPr>
            <w:tcW w:w="0" w:type="auto"/>
          </w:tcPr>
          <w:p w:rsidR="00047C28" w:rsidRPr="005069A3" w:rsidRDefault="00047C28" w:rsidP="00047C28">
            <w:pPr>
              <w:pStyle w:val="BodyText"/>
              <w:rPr>
                <w:rFonts w:cs="Arial"/>
                <w:szCs w:val="22"/>
              </w:rPr>
            </w:pPr>
            <w:r w:rsidRPr="005069A3">
              <w:rPr>
                <w:rFonts w:cs="Arial"/>
                <w:sz w:val="22"/>
                <w:szCs w:val="22"/>
              </w:rPr>
              <w:t>4</w:t>
            </w:r>
          </w:p>
        </w:tc>
        <w:tc>
          <w:tcPr>
            <w:tcW w:w="0" w:type="auto"/>
          </w:tcPr>
          <w:p w:rsidR="00047C28" w:rsidRPr="005069A3" w:rsidRDefault="00047C28" w:rsidP="00047C28">
            <w:pPr>
              <w:pStyle w:val="BodyText"/>
              <w:rPr>
                <w:rFonts w:cs="Arial"/>
                <w:szCs w:val="22"/>
              </w:rPr>
            </w:pPr>
            <w:r w:rsidRPr="005069A3">
              <w:rPr>
                <w:rFonts w:cs="Arial"/>
                <w:sz w:val="22"/>
                <w:szCs w:val="22"/>
              </w:rPr>
              <w:t>5.63</w:t>
            </w:r>
          </w:p>
        </w:tc>
        <w:tc>
          <w:tcPr>
            <w:tcW w:w="0" w:type="auto"/>
          </w:tcPr>
          <w:p w:rsidR="00047C28" w:rsidRPr="005069A3" w:rsidRDefault="00047C28" w:rsidP="00047C28">
            <w:pPr>
              <w:pStyle w:val="BodyText"/>
              <w:rPr>
                <w:rFonts w:cs="Arial"/>
                <w:szCs w:val="22"/>
              </w:rPr>
            </w:pPr>
            <w:r w:rsidRPr="005069A3">
              <w:rPr>
                <w:rFonts w:cs="Arial"/>
                <w:sz w:val="22"/>
                <w:szCs w:val="22"/>
              </w:rPr>
              <w:t>71</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Dividend</w:t>
            </w:r>
          </w:p>
        </w:tc>
        <w:tc>
          <w:tcPr>
            <w:tcW w:w="0" w:type="auto"/>
          </w:tcPr>
          <w:p w:rsidR="00047C28" w:rsidRPr="005069A3" w:rsidRDefault="00047C28" w:rsidP="00047C28">
            <w:pPr>
              <w:pStyle w:val="BodyText"/>
              <w:rPr>
                <w:rFonts w:cs="Arial"/>
                <w:szCs w:val="22"/>
              </w:rPr>
            </w:pPr>
            <w:r w:rsidRPr="005069A3">
              <w:rPr>
                <w:rFonts w:cs="Arial"/>
                <w:sz w:val="22"/>
                <w:szCs w:val="22"/>
              </w:rPr>
              <w:t>6</w:t>
            </w:r>
          </w:p>
        </w:tc>
        <w:tc>
          <w:tcPr>
            <w:tcW w:w="0" w:type="auto"/>
          </w:tcPr>
          <w:p w:rsidR="00047C28" w:rsidRPr="005069A3" w:rsidRDefault="00047C28" w:rsidP="00047C28">
            <w:pPr>
              <w:pStyle w:val="BodyText"/>
              <w:rPr>
                <w:rFonts w:cs="Arial"/>
                <w:szCs w:val="22"/>
              </w:rPr>
            </w:pPr>
            <w:r w:rsidRPr="005069A3">
              <w:rPr>
                <w:rFonts w:cs="Arial"/>
                <w:sz w:val="22"/>
                <w:szCs w:val="22"/>
              </w:rPr>
              <w:t>100.0</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6</w:t>
            </w:r>
          </w:p>
        </w:tc>
      </w:tr>
      <w:tr w:rsidR="00047C28" w:rsidRPr="005069A3" w:rsidTr="00047C28">
        <w:tc>
          <w:tcPr>
            <w:tcW w:w="0" w:type="auto"/>
          </w:tcPr>
          <w:p w:rsidR="00047C28" w:rsidRPr="005069A3" w:rsidRDefault="00047C28" w:rsidP="00047C28">
            <w:pPr>
              <w:pStyle w:val="BodyText"/>
              <w:rPr>
                <w:rFonts w:cs="Arial"/>
                <w:szCs w:val="22"/>
              </w:rPr>
            </w:pPr>
            <w:r w:rsidRPr="005069A3">
              <w:rPr>
                <w:rFonts w:cs="Arial"/>
                <w:sz w:val="22"/>
                <w:szCs w:val="22"/>
              </w:rPr>
              <w:t>Executive Pay Scheme</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0</w:t>
            </w:r>
          </w:p>
        </w:tc>
        <w:tc>
          <w:tcPr>
            <w:tcW w:w="0" w:type="auto"/>
          </w:tcPr>
          <w:p w:rsidR="00047C28" w:rsidRPr="005069A3" w:rsidRDefault="00047C28" w:rsidP="00047C28">
            <w:pPr>
              <w:pStyle w:val="BodyText"/>
              <w:rPr>
                <w:rFonts w:cs="Arial"/>
                <w:szCs w:val="22"/>
              </w:rPr>
            </w:pPr>
            <w:r w:rsidRPr="005069A3">
              <w:rPr>
                <w:rFonts w:cs="Arial"/>
                <w:sz w:val="22"/>
                <w:szCs w:val="22"/>
              </w:rPr>
              <w:t>0.0</w:t>
            </w:r>
          </w:p>
        </w:tc>
        <w:tc>
          <w:tcPr>
            <w:tcW w:w="0" w:type="auto"/>
          </w:tcPr>
          <w:p w:rsidR="00047C28" w:rsidRPr="005069A3" w:rsidRDefault="00047C28" w:rsidP="00047C28">
            <w:pPr>
              <w:pStyle w:val="BodyText"/>
              <w:rPr>
                <w:rFonts w:cs="Arial"/>
                <w:szCs w:val="22"/>
              </w:rPr>
            </w:pPr>
            <w:r w:rsidRPr="005069A3">
              <w:rPr>
                <w:rFonts w:cs="Arial"/>
                <w:sz w:val="22"/>
                <w:szCs w:val="22"/>
              </w:rPr>
              <w:t>1</w:t>
            </w:r>
          </w:p>
        </w:tc>
        <w:tc>
          <w:tcPr>
            <w:tcW w:w="0" w:type="auto"/>
          </w:tcPr>
          <w:p w:rsidR="00047C28" w:rsidRPr="005069A3" w:rsidRDefault="00047C28" w:rsidP="00047C28">
            <w:pPr>
              <w:pStyle w:val="BodyText"/>
              <w:rPr>
                <w:rFonts w:cs="Arial"/>
                <w:szCs w:val="22"/>
              </w:rPr>
            </w:pPr>
            <w:r w:rsidRPr="005069A3">
              <w:rPr>
                <w:rFonts w:cs="Arial"/>
                <w:sz w:val="22"/>
                <w:szCs w:val="22"/>
              </w:rPr>
              <w:t>100.0</w:t>
            </w:r>
          </w:p>
        </w:tc>
        <w:tc>
          <w:tcPr>
            <w:tcW w:w="0" w:type="auto"/>
          </w:tcPr>
          <w:p w:rsidR="00047C28" w:rsidRPr="005069A3" w:rsidRDefault="00047C28" w:rsidP="00047C28">
            <w:pPr>
              <w:pStyle w:val="BodyText"/>
              <w:rPr>
                <w:rFonts w:cs="Arial"/>
                <w:szCs w:val="22"/>
              </w:rPr>
            </w:pPr>
            <w:r w:rsidRPr="005069A3">
              <w:rPr>
                <w:rFonts w:cs="Arial"/>
                <w:sz w:val="22"/>
                <w:szCs w:val="22"/>
              </w:rPr>
              <w:t>1</w:t>
            </w:r>
          </w:p>
        </w:tc>
      </w:tr>
    </w:tbl>
    <w:p w:rsidR="00784F11" w:rsidRPr="00346DD5" w:rsidRDefault="00784F11" w:rsidP="00784F11"/>
    <w:p w:rsidR="00FE2F7C" w:rsidRDefault="003A76CB" w:rsidP="000678C1">
      <w:pPr>
        <w:pStyle w:val="Heading1"/>
      </w:pPr>
      <w:r>
        <w:rPr>
          <w:b w:val="0"/>
        </w:rPr>
        <w:t xml:space="preserve">The Fund was party to 392 resolutions during this period, of which 60% resulted in positive votes for shareholder resolutions and 36%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11 within the period, just </w:t>
      </w:r>
      <w:proofErr w:type="gramStart"/>
      <w:r>
        <w:rPr>
          <w:b w:val="0"/>
        </w:rPr>
        <w:t>under</w:t>
      </w:r>
      <w:proofErr w:type="gramEnd"/>
      <w:r>
        <w:rPr>
          <w:b w:val="0"/>
        </w:rPr>
        <w:t xml:space="preserve"> 3%. The remaining agenda items required no vote.</w:t>
      </w:r>
      <w:bookmarkStart w:id="0" w:name="_GoBack"/>
      <w:bookmarkEnd w:id="0"/>
    </w:p>
    <w:p w:rsidR="00E871D3" w:rsidRPr="00346DD5" w:rsidRDefault="00E871D3" w:rsidP="00E871D3">
      <w:pPr>
        <w:pStyle w:val="Default"/>
        <w:rPr>
          <w:b/>
          <w:bCs/>
          <w:color w:val="auto"/>
          <w:sz w:val="22"/>
          <w:szCs w:val="22"/>
        </w:rPr>
      </w:pPr>
    </w:p>
    <w:p w:rsidR="00FE2F7C" w:rsidRDefault="003A76CB" w:rsidP="000678C1">
      <w:pPr>
        <w:pStyle w:val="Heading1"/>
      </w:pPr>
      <w:r>
        <w:rPr>
          <w:b w:val="0"/>
        </w:rPr>
        <w:lastRenderedPageBreak/>
        <w:t>In relation to the UK, this quarter's report focuses upon the Competition Commission's proposals to reform the external audit arrangements of FT350 companies, a Department of Business, Innovation and Skills report suggesting that stock exchange listing led to increased levels of reporting and corporate governance, and a leading legal firm maintaining that a director’s fiduciary duty is not to maximise shareholder value through tax avoidance.</w:t>
      </w:r>
    </w:p>
    <w:p w:rsidR="00E871D3" w:rsidRPr="00ED47F0" w:rsidRDefault="00E871D3" w:rsidP="00E871D3"/>
    <w:p w:rsidR="00FE2F7C" w:rsidRDefault="003A76CB" w:rsidP="000678C1">
      <w:pPr>
        <w:pStyle w:val="Heading1"/>
      </w:pPr>
      <w:r>
        <w:rPr>
          <w:b w:val="0"/>
        </w:rPr>
        <w:t xml:space="preserve">Within European markets, shareholders led by German investor group </w:t>
      </w:r>
      <w:proofErr w:type="spellStart"/>
      <w:r>
        <w:rPr>
          <w:b w:val="0"/>
        </w:rPr>
        <w:t>DSW</w:t>
      </w:r>
      <w:proofErr w:type="spellEnd"/>
      <w:r>
        <w:rPr>
          <w:b w:val="0"/>
        </w:rPr>
        <w:t xml:space="preserve"> have won an agreement from steel and industrial goods group ThyssenKrupp to hold an independent governance review. Separately, large financial services businesses may have to set board diversity targets under European Union plans, and Italy has became the first country to push ahead with introducing a tax on high-frequency trading. </w:t>
      </w:r>
    </w:p>
    <w:p w:rsidR="005342D5" w:rsidRDefault="005342D5" w:rsidP="007823D2"/>
    <w:p w:rsidR="00FE2F7C" w:rsidRDefault="003A76CB" w:rsidP="000678C1">
      <w:pPr>
        <w:pStyle w:val="Heading1"/>
      </w:pPr>
      <w:r>
        <w:rPr>
          <w:b w:val="0"/>
        </w:rPr>
        <w:t>The Italian Financial Transactions Tax will be explicitly focused on high-frequency trading and equity derivatives, which are often used by banks and companies to hedge against risk. Once above the threshold, order changes and cancelations of high-frequency traders will now be taxed at 0.02 per cent when they occur in intervals shorter than half a second. The levies will apply regardless of the place of the transaction or the country of residence of the counterparty.</w:t>
      </w:r>
    </w:p>
    <w:p w:rsidR="001B0E83" w:rsidRPr="007823D2" w:rsidRDefault="001B0E83" w:rsidP="0069034D"/>
    <w:p w:rsidR="00FE2F7C" w:rsidRDefault="003A76CB" w:rsidP="000678C1">
      <w:pPr>
        <w:pStyle w:val="Heading1"/>
      </w:pPr>
      <w:r>
        <w:rPr>
          <w:b w:val="0"/>
        </w:rPr>
        <w:t xml:space="preserve">Within the United States, the Securities and Exchange Commission (SEC) is seeking that US companies will need to disclose how the pay of their CEOs compares to that of their workers. Separately, shareholders have filed a proposal to abandon the dual shares class structure at Twenty-First Century Fox, which also faces a resolution from Christian Brothers Investment Services seeking the splitting of chair and chief executive roles. </w:t>
      </w:r>
    </w:p>
    <w:p w:rsidR="007823D2" w:rsidRPr="007823D2" w:rsidRDefault="007823D2" w:rsidP="007823D2"/>
    <w:p w:rsidR="00FE2F7C" w:rsidRDefault="003A76CB" w:rsidP="000678C1">
      <w:pPr>
        <w:pStyle w:val="Heading1"/>
      </w:pPr>
      <w:r w:rsidRPr="003A76CB">
        <w:rPr>
          <w:rFonts w:cs="Arial"/>
          <w:b w:val="0"/>
          <w:sz w:val="22"/>
          <w:szCs w:val="22"/>
        </w:rPr>
        <w:t xml:space="preserve">Elsewhere, </w:t>
      </w:r>
      <w:r>
        <w:rPr>
          <w:b w:val="0"/>
        </w:rPr>
        <w:t>the Australian Council of Superannuation Investors (ACSI) has published updated advice to corporate Australia on how it will be assessing public company directors’ behaviours and performance. ACSI’s Governance Guidelines, updated in July, provide expanded context and commentary on investor expectations of board practices, executive pay structures and conduct during capital raisings.</w:t>
      </w:r>
    </w:p>
    <w:p w:rsidR="00047C28" w:rsidRPr="00B53A04" w:rsidRDefault="00047C28" w:rsidP="00047C28"/>
    <w:p w:rsidR="00FE2F7C" w:rsidRDefault="003A76CB" w:rsidP="000678C1">
      <w:pPr>
        <w:pStyle w:val="Heading1"/>
      </w:pPr>
      <w:r w:rsidRPr="003A76CB">
        <w:rPr>
          <w:b w:val="0"/>
        </w:rPr>
        <w:t xml:space="preserve">China’s environmental watchdog </w:t>
      </w:r>
      <w:r>
        <w:rPr>
          <w:b w:val="0"/>
        </w:rPr>
        <w:t xml:space="preserve">has halted new projects by the country’s two largest refining companies because they missed pollution targets. The Chinese Ministry of Environmental Protection has temporarily banned new constructions as well as renovation and expansion of the existing refineries of China National Petroleum Corp. (CNPC) and China Petrochemical Corp., known as Sinopec Group. Together they account for more than three-quarters of China’s total refining capacity. According to the Ministry, CNPC missed a target to reduce chemical-oxygen-demand, which is an indicator of water pollution, while Sinopec missed a target to reduce nitrogen-oxide emissions, a metric for air pollution. </w:t>
      </w:r>
    </w:p>
    <w:p w:rsidR="00047C28" w:rsidRPr="005342D5" w:rsidRDefault="00047C28" w:rsidP="00047C28"/>
    <w:p w:rsidR="00FE2F7C" w:rsidRDefault="003A76CB" w:rsidP="000678C1">
      <w:pPr>
        <w:pStyle w:val="Heading1"/>
      </w:pPr>
      <w:r>
        <w:rPr>
          <w:b w:val="0"/>
        </w:rPr>
        <w:lastRenderedPageBreak/>
        <w:t>The bans are a rather unusual step by the Chinese authorities, which shows that Beijing is stepping up environmental scrutiny of state-owned companies after mounting public discontent over environmental pollution in China. In January, this year, Beijing and several other locations suffered from severe air pollution and cadmium-tainted rice has been discovered in supplies in the southern province of Guangdong.</w:t>
      </w:r>
    </w:p>
    <w:p w:rsidR="00047C28" w:rsidRPr="004B5A0E" w:rsidRDefault="00047C28" w:rsidP="00047C28">
      <w:pPr>
        <w:autoSpaceDE w:val="0"/>
        <w:autoSpaceDN w:val="0"/>
        <w:adjustRightInd w:val="0"/>
        <w:rPr>
          <w:rFonts w:cs="Arial"/>
          <w:sz w:val="22"/>
          <w:szCs w:val="22"/>
        </w:rPr>
      </w:pPr>
    </w:p>
    <w:p w:rsidR="00FE2F7C" w:rsidRDefault="00DB147E">
      <w:pPr>
        <w:pStyle w:val="Heading1"/>
        <w:numPr>
          <w:ilvl w:val="0"/>
          <w:numId w:val="14"/>
        </w:numPr>
        <w:ind w:left="851" w:hanging="851"/>
      </w:pPr>
      <w:r w:rsidRPr="008B1C39">
        <w:t xml:space="preserve">Shareholder Engagement through </w:t>
      </w:r>
      <w:r w:rsidR="00EB067F" w:rsidRPr="008B1C39">
        <w:t>LAPFF</w:t>
      </w:r>
    </w:p>
    <w:p w:rsidR="00EB067F" w:rsidRPr="008B1C39" w:rsidRDefault="00EB067F">
      <w:pPr>
        <w:pStyle w:val="Heading1"/>
        <w:rPr>
          <w:b w:val="0"/>
        </w:rPr>
      </w:pPr>
    </w:p>
    <w:p w:rsidR="00FE2F7C" w:rsidRDefault="001F61DF" w:rsidP="000678C1">
      <w:r w:rsidRPr="008B1C39">
        <w:t>Lancashire County Pension Fund is also a member of the Local Authority Pension Fund Forum (LAPFF), which exists to promote the investment interests of local authority pension funds, and to maximise their influence as shareholders whilst promoting social responsibility and corporate governance at the companies in which they invest.</w:t>
      </w:r>
    </w:p>
    <w:p w:rsidR="001F61DF" w:rsidRPr="008B1C39" w:rsidRDefault="001F61DF" w:rsidP="001F61DF"/>
    <w:p w:rsidR="00FE2F7C" w:rsidRDefault="001F61DF" w:rsidP="000678C1">
      <w:r w:rsidRPr="008B1C39">
        <w:t xml:space="preserve">Members of the Committee may be interested to note the attached engagement report from </w:t>
      </w:r>
      <w:proofErr w:type="spellStart"/>
      <w:r w:rsidRPr="008B1C39">
        <w:t>LAPFF</w:t>
      </w:r>
      <w:proofErr w:type="spellEnd"/>
      <w:r w:rsidRPr="008B1C39">
        <w:t xml:space="preserve"> (Appendix </w:t>
      </w:r>
      <w:r w:rsidR="000678C1">
        <w:t>'</w:t>
      </w:r>
      <w:r w:rsidRPr="008B1C39">
        <w:t>B</w:t>
      </w:r>
      <w:r w:rsidR="000678C1">
        <w:t>'</w:t>
      </w:r>
      <w:r w:rsidRPr="008B1C39">
        <w:t xml:space="preserve">) which covers the period 1 </w:t>
      </w:r>
      <w:r w:rsidR="008B1C39" w:rsidRPr="008B1C39">
        <w:t>July</w:t>
      </w:r>
      <w:r w:rsidR="001B2FB0" w:rsidRPr="008B1C39">
        <w:t xml:space="preserve"> </w:t>
      </w:r>
      <w:r w:rsidRPr="008B1C39">
        <w:t>to 3</w:t>
      </w:r>
      <w:r w:rsidR="001B2FB0" w:rsidRPr="008B1C39">
        <w:t>0</w:t>
      </w:r>
      <w:r w:rsidRPr="008B1C39">
        <w:t xml:space="preserve"> </w:t>
      </w:r>
      <w:r w:rsidR="008B1C39" w:rsidRPr="008B1C39">
        <w:t>September</w:t>
      </w:r>
      <w:r w:rsidR="001B2FB0" w:rsidRPr="008B1C39">
        <w:t xml:space="preserve"> </w:t>
      </w:r>
      <w:r w:rsidRPr="008B1C39">
        <w:t>201</w:t>
      </w:r>
      <w:r w:rsidR="00E871D3" w:rsidRPr="008B1C39">
        <w:t>3</w:t>
      </w:r>
      <w:r w:rsidRPr="008B1C39">
        <w:t>.</w:t>
      </w:r>
    </w:p>
    <w:p w:rsidR="001F61DF" w:rsidRPr="008B1C39" w:rsidRDefault="001F61DF" w:rsidP="001F61DF"/>
    <w:p w:rsidR="00FE2F7C" w:rsidRDefault="001F61DF" w:rsidP="000678C1">
      <w:r w:rsidRPr="008B1C39">
        <w:t xml:space="preserve">It sets out details of their activities in influencing governance, employment standards, reputational risk, climate change, finance and accounting, and Board composition, and provides a slightly </w:t>
      </w:r>
      <w:r w:rsidR="00DB147E" w:rsidRPr="008B1C39">
        <w:t>different</w:t>
      </w:r>
      <w:r w:rsidRPr="008B1C39">
        <w:t xml:space="preserve"> and wider perspective than the PIRC report</w:t>
      </w:r>
      <w:r w:rsidR="00BD3AAB" w:rsidRPr="008B1C39">
        <w:t>.</w:t>
      </w:r>
    </w:p>
    <w:p w:rsidR="00FF6BCC" w:rsidRDefault="00FF6BCC">
      <w:pPr>
        <w:pStyle w:val="Heading1"/>
      </w:pPr>
    </w:p>
    <w:p w:rsidR="00FE2F7C" w:rsidRDefault="00CB5C49">
      <w:pPr>
        <w:pStyle w:val="Heading1"/>
        <w:numPr>
          <w:ilvl w:val="0"/>
          <w:numId w:val="14"/>
        </w:numPr>
        <w:ind w:left="851" w:hanging="851"/>
      </w:pPr>
      <w:r w:rsidRPr="005C5D7F">
        <w:t>Class Actions</w:t>
      </w:r>
    </w:p>
    <w:p w:rsidR="000678C1" w:rsidRDefault="000678C1" w:rsidP="000678C1">
      <w:pPr>
        <w:pStyle w:val="BodyTextIndent2"/>
        <w:spacing w:after="0" w:line="240" w:lineRule="auto"/>
        <w:ind w:left="0"/>
        <w:rPr>
          <w:b/>
        </w:rPr>
      </w:pPr>
    </w:p>
    <w:p w:rsidR="00FE2F7C" w:rsidRDefault="005D7717" w:rsidP="000678C1">
      <w:pPr>
        <w:pStyle w:val="BodyTextIndent2"/>
        <w:spacing w:after="0" w:line="240" w:lineRule="auto"/>
        <w:ind w:left="0"/>
        <w:rPr>
          <w:b/>
        </w:rPr>
      </w:pPr>
      <w:r w:rsidRPr="005C5D7F">
        <w:rPr>
          <w:b/>
        </w:rPr>
        <w:t>United States</w:t>
      </w:r>
    </w:p>
    <w:p w:rsidR="000678C1" w:rsidRDefault="000678C1" w:rsidP="000678C1">
      <w:pPr>
        <w:pStyle w:val="BodyTextIndent2"/>
        <w:spacing w:after="0" w:line="240" w:lineRule="auto"/>
        <w:ind w:left="0"/>
        <w:rPr>
          <w:b/>
        </w:rPr>
      </w:pPr>
    </w:p>
    <w:p w:rsidR="00FE2F7C" w:rsidRDefault="00CB5C49" w:rsidP="000678C1">
      <w:pPr>
        <w:pStyle w:val="BodyTextIndent2"/>
        <w:spacing w:after="0" w:line="240" w:lineRule="auto"/>
        <w:ind w:left="0"/>
      </w:pPr>
      <w:r w:rsidRPr="005C5D7F">
        <w:t>The Fund has appointed Barrack, Rodos and Bacine (BR&amp;B) to provide a US class actions monitoring service with the aim of ensuring that the Lancashire County Pension Fund receives all</w:t>
      </w:r>
      <w:r w:rsidRPr="005C5D7F">
        <w:rPr>
          <w:b/>
        </w:rPr>
        <w:t xml:space="preserve"> </w:t>
      </w:r>
      <w:r w:rsidRPr="005C5D7F">
        <w:t>monies due to the Fund by filing its proof of claim from these cases. This service is at no cost to the Fund.</w:t>
      </w:r>
    </w:p>
    <w:p w:rsidR="00084A5E" w:rsidRDefault="00084A5E" w:rsidP="000678C1">
      <w:pPr>
        <w:pStyle w:val="BodyTextIndent2"/>
        <w:spacing w:after="0" w:line="240" w:lineRule="auto"/>
        <w:ind w:left="0"/>
      </w:pPr>
    </w:p>
    <w:p w:rsidR="00FE2F7C" w:rsidRDefault="00CB5C49" w:rsidP="000678C1">
      <w:pPr>
        <w:pStyle w:val="BodyTextIndent2"/>
        <w:spacing w:line="240" w:lineRule="auto"/>
        <w:ind w:left="0"/>
      </w:pPr>
      <w:proofErr w:type="spellStart"/>
      <w:r w:rsidRPr="005C5D7F">
        <w:t>BRB</w:t>
      </w:r>
      <w:proofErr w:type="spellEnd"/>
      <w:r w:rsidRPr="005C5D7F">
        <w:t xml:space="preserve"> will identify class actions where the Fund has a potential loss arising from an alleged fraud or a securities law violation. This is achieved by the BR&amp;B 'BEAMS' monitoring system which follows each securities case from the beginning to the end by ensuring its filing of the proof of claim so that the Fund may receive its payment.</w:t>
      </w:r>
    </w:p>
    <w:p w:rsidR="00FE2F7C" w:rsidRDefault="00CB5C49" w:rsidP="000678C1">
      <w:pPr>
        <w:pStyle w:val="BodyTextIndent2"/>
        <w:spacing w:after="240" w:line="240" w:lineRule="auto"/>
        <w:ind w:left="0"/>
      </w:pPr>
      <w:r w:rsidRPr="005C5D7F">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FE2F7C" w:rsidRDefault="00CB5C49">
      <w:pPr>
        <w:ind w:left="851" w:hanging="851"/>
      </w:pPr>
      <w:r w:rsidRPr="005C5D7F">
        <w:t xml:space="preserve">Details of current </w:t>
      </w:r>
      <w:r w:rsidR="00FF6BCC">
        <w:t xml:space="preserve">potential </w:t>
      </w:r>
      <w:r w:rsidRPr="005C5D7F">
        <w:t xml:space="preserve">US cases </w:t>
      </w:r>
      <w:r w:rsidR="005C5D7F" w:rsidRPr="005C5D7F">
        <w:t xml:space="preserve">as at </w:t>
      </w:r>
      <w:r w:rsidRPr="005C5D7F">
        <w:t xml:space="preserve">30 </w:t>
      </w:r>
      <w:r w:rsidR="005C5D7F" w:rsidRPr="005C5D7F">
        <w:t>September</w:t>
      </w:r>
      <w:r w:rsidRPr="005C5D7F">
        <w:t xml:space="preserve"> 2013 are set out below:</w:t>
      </w:r>
    </w:p>
    <w:p w:rsidR="00FF3A87" w:rsidRPr="00FF3A87" w:rsidRDefault="00FF3A87" w:rsidP="00CB5C49"/>
    <w:tbl>
      <w:tblPr>
        <w:tblW w:w="7362" w:type="dxa"/>
        <w:tblInd w:w="88" w:type="dxa"/>
        <w:tblLook w:val="04A0"/>
      </w:tblPr>
      <w:tblGrid>
        <w:gridCol w:w="2147"/>
        <w:gridCol w:w="1101"/>
        <w:gridCol w:w="1101"/>
        <w:gridCol w:w="939"/>
        <w:gridCol w:w="2074"/>
      </w:tblGrid>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b/>
                <w:bCs/>
                <w:sz w:val="20"/>
                <w:u w:val="single"/>
              </w:rPr>
            </w:pPr>
            <w:r w:rsidRPr="00FF3A87">
              <w:rPr>
                <w:rFonts w:cs="Arial"/>
                <w:b/>
                <w:bCs/>
                <w:sz w:val="20"/>
                <w:u w:val="single"/>
              </w:rPr>
              <w:t>Company Name</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center"/>
              <w:rPr>
                <w:rFonts w:cs="Arial"/>
                <w:b/>
                <w:bCs/>
                <w:sz w:val="20"/>
                <w:u w:val="single"/>
              </w:rPr>
            </w:pPr>
            <w:r w:rsidRPr="00FF3A87">
              <w:rPr>
                <w:rFonts w:cs="Arial"/>
                <w:b/>
                <w:bCs/>
                <w:sz w:val="20"/>
                <w:u w:val="single"/>
              </w:rPr>
              <w:t>Effective Class Period Begin</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center"/>
              <w:rPr>
                <w:rFonts w:cs="Arial"/>
                <w:b/>
                <w:bCs/>
                <w:sz w:val="20"/>
                <w:u w:val="single"/>
              </w:rPr>
            </w:pPr>
            <w:r w:rsidRPr="00FF3A87">
              <w:rPr>
                <w:rFonts w:cs="Arial"/>
                <w:b/>
                <w:bCs/>
                <w:sz w:val="20"/>
                <w:u w:val="single"/>
              </w:rPr>
              <w:t>Effective Class Period End</w:t>
            </w:r>
          </w:p>
        </w:tc>
        <w:tc>
          <w:tcPr>
            <w:tcW w:w="939" w:type="dxa"/>
            <w:tcBorders>
              <w:top w:val="nil"/>
              <w:left w:val="nil"/>
              <w:bottom w:val="nil"/>
              <w:right w:val="nil"/>
            </w:tcBorders>
            <w:shd w:val="clear" w:color="auto" w:fill="auto"/>
            <w:noWrap/>
            <w:vAlign w:val="bottom"/>
            <w:hideMark/>
          </w:tcPr>
          <w:p w:rsidR="00B53A04" w:rsidRPr="00FF3A87" w:rsidRDefault="00B53A04" w:rsidP="00CB5C49">
            <w:pPr>
              <w:jc w:val="center"/>
              <w:rPr>
                <w:rFonts w:cs="Arial"/>
                <w:b/>
                <w:bCs/>
                <w:sz w:val="20"/>
                <w:u w:val="single"/>
              </w:rPr>
            </w:pPr>
            <w:r w:rsidRPr="00FF3A87">
              <w:rPr>
                <w:rFonts w:cs="Arial"/>
                <w:b/>
                <w:bCs/>
                <w:sz w:val="20"/>
                <w:u w:val="single"/>
              </w:rPr>
              <w:t>Case Status</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ind w:left="436" w:right="288"/>
              <w:jc w:val="center"/>
              <w:rPr>
                <w:rFonts w:cs="Arial"/>
                <w:b/>
                <w:bCs/>
                <w:sz w:val="20"/>
                <w:u w:val="single"/>
              </w:rPr>
            </w:pPr>
            <w:r>
              <w:rPr>
                <w:rFonts w:cs="Arial"/>
                <w:b/>
                <w:bCs/>
                <w:sz w:val="20"/>
                <w:u w:val="single"/>
              </w:rPr>
              <w:t>Potential loss incurred ($'000)</w:t>
            </w:r>
          </w:p>
        </w:tc>
      </w:tr>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Medtronic, Inc.</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08/12/10</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03/08/11</w:t>
            </w:r>
          </w:p>
        </w:tc>
        <w:tc>
          <w:tcPr>
            <w:tcW w:w="939" w:type="dxa"/>
            <w:tcBorders>
              <w:top w:val="nil"/>
              <w:left w:val="nil"/>
              <w:bottom w:val="nil"/>
              <w:right w:val="nil"/>
            </w:tcBorders>
            <w:shd w:val="clear" w:color="auto" w:fill="auto"/>
            <w:noWrap/>
            <w:vAlign w:val="bottom"/>
            <w:hideMark/>
          </w:tcPr>
          <w:p w:rsidR="00B53A04" w:rsidRPr="00FF3A87" w:rsidRDefault="00B53A04" w:rsidP="005342D5">
            <w:pPr>
              <w:rPr>
                <w:rFonts w:cs="Arial"/>
                <w:sz w:val="20"/>
              </w:rPr>
            </w:pPr>
            <w:r>
              <w:rPr>
                <w:rFonts w:cs="Arial"/>
                <w:sz w:val="20"/>
              </w:rPr>
              <w:t>ACTIVE</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jc w:val="center"/>
              <w:rPr>
                <w:rFonts w:cs="Arial"/>
                <w:sz w:val="20"/>
              </w:rPr>
            </w:pPr>
            <w:r w:rsidRPr="00FF3A87">
              <w:rPr>
                <w:rFonts w:cs="Arial"/>
                <w:sz w:val="20"/>
              </w:rPr>
              <w:t>27</w:t>
            </w:r>
            <w:r>
              <w:rPr>
                <w:rFonts w:cs="Arial"/>
                <w:sz w:val="20"/>
              </w:rPr>
              <w:t>.71</w:t>
            </w:r>
          </w:p>
        </w:tc>
      </w:tr>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CenturyLink, Inc.</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08/08/12</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14/02/13</w:t>
            </w:r>
          </w:p>
        </w:tc>
        <w:tc>
          <w:tcPr>
            <w:tcW w:w="939"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ACTIVE</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jc w:val="center"/>
              <w:rPr>
                <w:rFonts w:cs="Arial"/>
                <w:sz w:val="20"/>
              </w:rPr>
            </w:pPr>
            <w:r w:rsidRPr="00FF3A87">
              <w:rPr>
                <w:rFonts w:cs="Arial"/>
                <w:sz w:val="20"/>
              </w:rPr>
              <w:t>521</w:t>
            </w:r>
            <w:r>
              <w:rPr>
                <w:rFonts w:cs="Arial"/>
                <w:sz w:val="20"/>
              </w:rPr>
              <w:t>.63</w:t>
            </w:r>
          </w:p>
        </w:tc>
      </w:tr>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Barrick Gold Corp.</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07/05/09</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23/05/13</w:t>
            </w:r>
          </w:p>
        </w:tc>
        <w:tc>
          <w:tcPr>
            <w:tcW w:w="939"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ACTIVE</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jc w:val="center"/>
              <w:rPr>
                <w:rFonts w:cs="Arial"/>
                <w:sz w:val="20"/>
              </w:rPr>
            </w:pPr>
            <w:r>
              <w:rPr>
                <w:rFonts w:cs="Arial"/>
                <w:sz w:val="20"/>
              </w:rPr>
              <w:t>411.36</w:t>
            </w:r>
          </w:p>
        </w:tc>
      </w:tr>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Intuitive Surgical, Inc.</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19/10/11</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18/04/13</w:t>
            </w:r>
          </w:p>
        </w:tc>
        <w:tc>
          <w:tcPr>
            <w:tcW w:w="939"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ACTIVE</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jc w:val="center"/>
              <w:rPr>
                <w:rFonts w:cs="Arial"/>
                <w:sz w:val="20"/>
              </w:rPr>
            </w:pPr>
            <w:r w:rsidRPr="00FF3A87">
              <w:rPr>
                <w:rFonts w:cs="Arial"/>
                <w:sz w:val="20"/>
              </w:rPr>
              <w:t>251</w:t>
            </w:r>
            <w:r>
              <w:rPr>
                <w:rFonts w:cs="Arial"/>
                <w:sz w:val="20"/>
              </w:rPr>
              <w:t>.54</w:t>
            </w:r>
          </w:p>
        </w:tc>
      </w:tr>
      <w:tr w:rsidR="00B53A04" w:rsidRPr="00FF3A87" w:rsidTr="00B53A04">
        <w:trPr>
          <w:trHeight w:val="255"/>
        </w:trPr>
        <w:tc>
          <w:tcPr>
            <w:tcW w:w="2147"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ITT Educational Services, Inc.</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24/04/08</w:t>
            </w:r>
          </w:p>
        </w:tc>
        <w:tc>
          <w:tcPr>
            <w:tcW w:w="1101" w:type="dxa"/>
            <w:tcBorders>
              <w:top w:val="nil"/>
              <w:left w:val="nil"/>
              <w:bottom w:val="nil"/>
              <w:right w:val="nil"/>
            </w:tcBorders>
            <w:shd w:val="clear" w:color="auto" w:fill="auto"/>
            <w:noWrap/>
            <w:vAlign w:val="bottom"/>
            <w:hideMark/>
          </w:tcPr>
          <w:p w:rsidR="00B53A04" w:rsidRPr="00FF3A87" w:rsidRDefault="00B53A04" w:rsidP="00CB5C49">
            <w:pPr>
              <w:jc w:val="right"/>
              <w:rPr>
                <w:rFonts w:cs="Arial"/>
                <w:sz w:val="20"/>
              </w:rPr>
            </w:pPr>
            <w:r w:rsidRPr="00FF3A87">
              <w:rPr>
                <w:rFonts w:cs="Arial"/>
                <w:sz w:val="20"/>
              </w:rPr>
              <w:t>25/02/13</w:t>
            </w:r>
          </w:p>
        </w:tc>
        <w:tc>
          <w:tcPr>
            <w:tcW w:w="939" w:type="dxa"/>
            <w:tcBorders>
              <w:top w:val="nil"/>
              <w:left w:val="nil"/>
              <w:bottom w:val="nil"/>
              <w:right w:val="nil"/>
            </w:tcBorders>
            <w:shd w:val="clear" w:color="auto" w:fill="auto"/>
            <w:noWrap/>
            <w:vAlign w:val="bottom"/>
            <w:hideMark/>
          </w:tcPr>
          <w:p w:rsidR="00B53A04" w:rsidRPr="00FF3A87" w:rsidRDefault="00B53A04" w:rsidP="00CB5C49">
            <w:pPr>
              <w:rPr>
                <w:rFonts w:cs="Arial"/>
                <w:sz w:val="20"/>
              </w:rPr>
            </w:pPr>
            <w:r w:rsidRPr="00FF3A87">
              <w:rPr>
                <w:rFonts w:cs="Arial"/>
                <w:sz w:val="20"/>
              </w:rPr>
              <w:t>ACTIVE</w:t>
            </w:r>
          </w:p>
        </w:tc>
        <w:tc>
          <w:tcPr>
            <w:tcW w:w="2074" w:type="dxa"/>
            <w:tcBorders>
              <w:top w:val="nil"/>
              <w:left w:val="nil"/>
              <w:bottom w:val="nil"/>
              <w:right w:val="nil"/>
            </w:tcBorders>
            <w:shd w:val="clear" w:color="auto" w:fill="auto"/>
            <w:noWrap/>
            <w:vAlign w:val="bottom"/>
            <w:hideMark/>
          </w:tcPr>
          <w:p w:rsidR="00B53A04" w:rsidRPr="00FF3A87" w:rsidRDefault="00B53A04" w:rsidP="00B714F4">
            <w:pPr>
              <w:jc w:val="center"/>
              <w:rPr>
                <w:rFonts w:cs="Arial"/>
                <w:sz w:val="20"/>
              </w:rPr>
            </w:pPr>
            <w:r w:rsidRPr="00FF3A87">
              <w:rPr>
                <w:rFonts w:cs="Arial"/>
                <w:sz w:val="20"/>
              </w:rPr>
              <w:t>760</w:t>
            </w:r>
            <w:r>
              <w:rPr>
                <w:rFonts w:cs="Arial"/>
                <w:sz w:val="20"/>
              </w:rPr>
              <w:t>.</w:t>
            </w:r>
            <w:r w:rsidRPr="00FF3A87">
              <w:rPr>
                <w:rFonts w:cs="Arial"/>
                <w:sz w:val="20"/>
              </w:rPr>
              <w:t>06</w:t>
            </w:r>
          </w:p>
        </w:tc>
      </w:tr>
    </w:tbl>
    <w:p w:rsidR="000678C1" w:rsidRDefault="000678C1" w:rsidP="000678C1">
      <w:pPr>
        <w:pStyle w:val="BodyTextIndent2"/>
        <w:spacing w:after="0" w:line="240" w:lineRule="auto"/>
        <w:ind w:left="0"/>
        <w:rPr>
          <w:b/>
        </w:rPr>
      </w:pPr>
    </w:p>
    <w:p w:rsidR="00FE2F7C" w:rsidRDefault="005D7717" w:rsidP="000678C1">
      <w:pPr>
        <w:pStyle w:val="BodyTextIndent2"/>
        <w:spacing w:after="0" w:line="240" w:lineRule="auto"/>
        <w:ind w:left="0"/>
        <w:rPr>
          <w:b/>
        </w:rPr>
      </w:pPr>
      <w:r w:rsidRPr="00C446A2">
        <w:rPr>
          <w:b/>
        </w:rPr>
        <w:t>United Kingdom</w:t>
      </w:r>
    </w:p>
    <w:p w:rsidR="000678C1" w:rsidRDefault="000678C1" w:rsidP="000678C1">
      <w:pPr>
        <w:pStyle w:val="BodyTextIndent2"/>
        <w:spacing w:after="0" w:line="240" w:lineRule="auto"/>
        <w:ind w:left="0"/>
        <w:rPr>
          <w:b/>
        </w:rPr>
      </w:pPr>
    </w:p>
    <w:p w:rsidR="00FE2F7C" w:rsidRDefault="005D7717" w:rsidP="000678C1">
      <w:r w:rsidRPr="00C446A2">
        <w:t>Unlike class actions within the US jurisdiction, where all relevant recipients benefit from a class action when filed, class actions within the UK require investors to file their actions individually in order to potentially benefit from a successful class action.</w:t>
      </w:r>
      <w:r w:rsidR="00C446A2" w:rsidRPr="00C446A2">
        <w:t xml:space="preserve"> Such actions are therefore much less prevalent.</w:t>
      </w:r>
    </w:p>
    <w:p w:rsidR="005D7717" w:rsidRPr="00C446A2" w:rsidRDefault="005D7717" w:rsidP="00CB5C49"/>
    <w:p w:rsidR="00FE2F7C" w:rsidRDefault="00C446A2" w:rsidP="000678C1">
      <w:r w:rsidRPr="00C446A2">
        <w:t>As reported at the previous meeting, and in keeping with the majority of other affected LGPS, the Fund is keeping a watching brief over developments in relation to Royal Bank of Scotland in relation to alleged actions that, it is argued, caused investors to suffer losses relating to a subsequent Rights Issue on 30 April 2008. The deadline for filing a claim, after which the case would be statute-barred, remains April 2014.</w:t>
      </w:r>
    </w:p>
    <w:p w:rsidR="000678C1" w:rsidRPr="00C446A2" w:rsidRDefault="000678C1" w:rsidP="00CB5C49"/>
    <w:p w:rsidR="00FE2F7C" w:rsidRDefault="005342D5">
      <w:pPr>
        <w:pStyle w:val="Heading1"/>
        <w:numPr>
          <w:ilvl w:val="0"/>
          <w:numId w:val="14"/>
        </w:numPr>
        <w:ind w:left="851" w:hanging="851"/>
      </w:pPr>
      <w:r w:rsidRPr="00B53A04">
        <w:t>Fiduciary duty update</w:t>
      </w:r>
    </w:p>
    <w:p w:rsidR="00AA2A9E" w:rsidRPr="006A309A" w:rsidRDefault="00AA2A9E" w:rsidP="00CB5C49"/>
    <w:p w:rsidR="00FE2F7C" w:rsidRDefault="00AA2A9E" w:rsidP="000678C1">
      <w:r w:rsidRPr="00C70DB6">
        <w:t xml:space="preserve">Following discussion of </w:t>
      </w:r>
      <w:r w:rsidR="006A309A" w:rsidRPr="00C70DB6">
        <w:t xml:space="preserve">fiduciary duties </w:t>
      </w:r>
      <w:r w:rsidRPr="00C70DB6">
        <w:t xml:space="preserve">at the March </w:t>
      </w:r>
      <w:r w:rsidR="00084A5E">
        <w:t xml:space="preserve">2013 </w:t>
      </w:r>
      <w:r w:rsidRPr="00C70DB6">
        <w:t xml:space="preserve">meeting of the Committee, </w:t>
      </w:r>
      <w:r w:rsidR="001613F4" w:rsidRPr="00C70DB6">
        <w:t xml:space="preserve">there has been activity on a number of fronts relating to </w:t>
      </w:r>
      <w:r w:rsidRPr="00C70DB6">
        <w:t>LGPS funds</w:t>
      </w:r>
      <w:r w:rsidR="001613F4" w:rsidRPr="00C70DB6">
        <w:t xml:space="preserve">, much of which </w:t>
      </w:r>
      <w:r w:rsidR="00E056E0">
        <w:t>arises</w:t>
      </w:r>
      <w:r w:rsidR="001613F4" w:rsidRPr="00C70DB6">
        <w:t xml:space="preserve"> from many administering authorities taking on responsibility for Public Health from April 2013.</w:t>
      </w:r>
    </w:p>
    <w:p w:rsidR="00FE2F7C" w:rsidRDefault="00FE2F7C">
      <w:pPr>
        <w:ind w:left="851" w:hanging="851"/>
      </w:pPr>
    </w:p>
    <w:p w:rsidR="00C11974" w:rsidRDefault="00C11974" w:rsidP="000678C1">
      <w:r>
        <w:t xml:space="preserve">The previous report on fiduciary duty, presented to this Committee in March 2013, </w:t>
      </w:r>
      <w:r w:rsidR="001C7D21">
        <w:t xml:space="preserve">considered the question of whether a conflict arose between the County Council's </w:t>
      </w:r>
      <w:r>
        <w:t xml:space="preserve">then imminent take-on of public health responsibilities, </w:t>
      </w:r>
      <w:r w:rsidR="001C7D21">
        <w:t>the role of the County Council as administering authority for the Fund and the Fund's responsibilities regarding fiduciary duty.</w:t>
      </w:r>
      <w:r>
        <w:t xml:space="preserve"> It also set out the Lancashire County Pension Fund's position, similar to that of Norfolk Pension Fund below, of maintaining a policy of voting and engagement with companies whose shares are held.</w:t>
      </w:r>
    </w:p>
    <w:p w:rsidR="00C11974" w:rsidRDefault="00C11974" w:rsidP="00C11974">
      <w:pPr>
        <w:ind w:left="851" w:hanging="851"/>
      </w:pPr>
    </w:p>
    <w:p w:rsidR="00C11974" w:rsidRDefault="00C11974" w:rsidP="000678C1">
      <w:pPr>
        <w:rPr>
          <w:szCs w:val="24"/>
        </w:rPr>
      </w:pPr>
      <w:r>
        <w:t>Committee members were informed in March that i</w:t>
      </w:r>
      <w:r>
        <w:rPr>
          <w:rFonts w:cs="Arial"/>
          <w:szCs w:val="24"/>
        </w:rPr>
        <w:t>n</w:t>
      </w:r>
      <w:r w:rsidRPr="004032FB">
        <w:rPr>
          <w:rFonts w:eastAsia="Calibri"/>
          <w:szCs w:val="22"/>
          <w:lang w:eastAsia="en-US"/>
        </w:rPr>
        <w:t xml:space="preserve"> order to meet its fiduciary duties, the </w:t>
      </w:r>
      <w:r>
        <w:rPr>
          <w:rFonts w:eastAsia="Calibri"/>
          <w:szCs w:val="22"/>
          <w:lang w:eastAsia="en-US"/>
        </w:rPr>
        <w:t xml:space="preserve">Pension </w:t>
      </w:r>
      <w:r w:rsidRPr="004032FB">
        <w:rPr>
          <w:rFonts w:eastAsia="Calibri"/>
          <w:szCs w:val="22"/>
          <w:lang w:eastAsia="en-US"/>
        </w:rPr>
        <w:t>Fund cannot unilaterally decide to divest from an individual investment type without regard to the overall objectives of the Fund, or without taking appropriate professional advice including risk and return considerations</w:t>
      </w:r>
      <w:r>
        <w:rPr>
          <w:rFonts w:eastAsia="Calibri"/>
          <w:szCs w:val="22"/>
          <w:lang w:eastAsia="en-US"/>
        </w:rPr>
        <w:t>. A decision to exclude particular investments on ethical grounds (and thus affect potential financial return) could be subject to legal challenge.</w:t>
      </w:r>
      <w:r w:rsidRPr="00EC0D4A">
        <w:rPr>
          <w:rFonts w:eastAsia="Calibri"/>
          <w:szCs w:val="22"/>
        </w:rPr>
        <w:t xml:space="preserve"> Securing a decent financial return in order to meet future commitments to beneficiaries is the primary objective of a pension fund.</w:t>
      </w:r>
    </w:p>
    <w:p w:rsidR="00C11974" w:rsidRDefault="00C11974">
      <w:pPr>
        <w:ind w:left="851" w:hanging="851"/>
      </w:pPr>
    </w:p>
    <w:p w:rsidR="00FE2F7C" w:rsidRDefault="001C7D21" w:rsidP="000678C1">
      <w:r>
        <w:t xml:space="preserve">Since then, work across the LGPS has been ongoing in relation to this issue. </w:t>
      </w:r>
      <w:r w:rsidR="005044D2" w:rsidRPr="00C70DB6">
        <w:t xml:space="preserve">In October 2013, </w:t>
      </w:r>
      <w:r w:rsidR="002807C3" w:rsidRPr="00C70DB6">
        <w:t xml:space="preserve">a sub-committee of the </w:t>
      </w:r>
      <w:r w:rsidR="00660E05" w:rsidRPr="00C70DB6">
        <w:t xml:space="preserve">newly created </w:t>
      </w:r>
      <w:r w:rsidR="005044D2" w:rsidRPr="00C70DB6">
        <w:t xml:space="preserve">LGPS </w:t>
      </w:r>
      <w:r w:rsidR="00661593">
        <w:t xml:space="preserve">Shadow </w:t>
      </w:r>
      <w:r w:rsidR="005044D2" w:rsidRPr="00C70DB6">
        <w:t xml:space="preserve">Advisory Board </w:t>
      </w:r>
      <w:r w:rsidR="002807C3" w:rsidRPr="00C70DB6">
        <w:t xml:space="preserve">considered </w:t>
      </w:r>
      <w:r w:rsidR="00660E05" w:rsidRPr="00C70DB6">
        <w:t>the issue and decided upon a number of actions:</w:t>
      </w:r>
      <w:r w:rsidR="00660E05" w:rsidRPr="00C70DB6">
        <w:br/>
      </w:r>
    </w:p>
    <w:p w:rsidR="00660E05" w:rsidRPr="00661593" w:rsidRDefault="00660E05" w:rsidP="00660E05">
      <w:pPr>
        <w:pStyle w:val="ListParagraph"/>
        <w:numPr>
          <w:ilvl w:val="0"/>
          <w:numId w:val="10"/>
        </w:numPr>
        <w:rPr>
          <w:i/>
        </w:rPr>
      </w:pPr>
      <w:r w:rsidRPr="00661593">
        <w:rPr>
          <w:i/>
        </w:rPr>
        <w:t>The approach taken by Norfolk Pension Fund (link</w:t>
      </w:r>
      <w:r w:rsidR="00C70DB6" w:rsidRPr="00661593">
        <w:rPr>
          <w:i/>
        </w:rPr>
        <w:t>s</w:t>
      </w:r>
      <w:r w:rsidRPr="00661593">
        <w:rPr>
          <w:i/>
        </w:rPr>
        <w:t xml:space="preserve"> below) should be circulated to LGPS Funds as the basis of interim information;</w:t>
      </w:r>
    </w:p>
    <w:p w:rsidR="00660E05" w:rsidRPr="00C70DB6" w:rsidRDefault="00660E05" w:rsidP="00660E05">
      <w:pPr>
        <w:pStyle w:val="ListParagraph"/>
        <w:numPr>
          <w:ilvl w:val="0"/>
          <w:numId w:val="10"/>
        </w:numPr>
      </w:pPr>
      <w:r w:rsidRPr="00661593">
        <w:rPr>
          <w:i/>
        </w:rPr>
        <w:t>Counsel's opinion should be sought on the legal status of LGPS funds with regard to fiduciary duty and the limit of broader ethical considerations</w:t>
      </w:r>
      <w:r w:rsidRPr="00C70DB6">
        <w:t>.</w:t>
      </w:r>
    </w:p>
    <w:tbl>
      <w:tblPr>
        <w:tblW w:w="0" w:type="auto"/>
        <w:tblBorders>
          <w:top w:val="nil"/>
          <w:left w:val="nil"/>
          <w:bottom w:val="nil"/>
          <w:right w:val="nil"/>
        </w:tblBorders>
        <w:tblLayout w:type="fixed"/>
        <w:tblLook w:val="0000"/>
      </w:tblPr>
      <w:tblGrid>
        <w:gridCol w:w="8975"/>
      </w:tblGrid>
      <w:tr w:rsidR="00660E05" w:rsidRPr="00C70DB6">
        <w:trPr>
          <w:trHeight w:val="112"/>
        </w:trPr>
        <w:tc>
          <w:tcPr>
            <w:tcW w:w="8975" w:type="dxa"/>
          </w:tcPr>
          <w:p w:rsidR="00660E05" w:rsidRPr="00C70DB6" w:rsidRDefault="00660E05">
            <w:pPr>
              <w:pStyle w:val="Default"/>
              <w:rPr>
                <w:color w:val="auto"/>
                <w:sz w:val="23"/>
                <w:szCs w:val="23"/>
              </w:rPr>
            </w:pPr>
          </w:p>
        </w:tc>
      </w:tr>
    </w:tbl>
    <w:p w:rsidR="00FE2F7C" w:rsidRDefault="00B37829">
      <w:pPr>
        <w:ind w:left="720" w:firstLine="720"/>
      </w:pPr>
      <w:hyperlink r:id="rId8" w:history="1">
        <w:r w:rsidR="00A57019" w:rsidRPr="00C70DB6">
          <w:rPr>
            <w:rStyle w:val="Hyperlink"/>
            <w:color w:val="auto"/>
          </w:rPr>
          <w:t>http://www.norfolk.gov.uk/view/pensions250912item6pdf</w:t>
        </w:r>
      </w:hyperlink>
      <w:r w:rsidR="00A57019" w:rsidRPr="00C70DB6">
        <w:t xml:space="preserve"> (Report); and </w:t>
      </w:r>
    </w:p>
    <w:p w:rsidR="00A57019" w:rsidRPr="00C70DB6" w:rsidRDefault="00A57019" w:rsidP="00CB5C49"/>
    <w:p w:rsidR="00FE2F7C" w:rsidRDefault="00B37829">
      <w:pPr>
        <w:ind w:left="720" w:firstLine="720"/>
      </w:pPr>
      <w:hyperlink r:id="rId9" w:history="1">
        <w:r w:rsidR="00A57019" w:rsidRPr="00C70DB6">
          <w:rPr>
            <w:rStyle w:val="Hyperlink"/>
            <w:color w:val="auto"/>
          </w:rPr>
          <w:t>http://www.norfolk.gov.uk/download/pensions250912minspdf</w:t>
        </w:r>
      </w:hyperlink>
      <w:r w:rsidR="00A57019" w:rsidRPr="00C70DB6">
        <w:t xml:space="preserve"> (Minutes)</w:t>
      </w:r>
    </w:p>
    <w:p w:rsidR="00C70DB6" w:rsidRPr="00C70DB6" w:rsidRDefault="00C70DB6" w:rsidP="00CB5C49"/>
    <w:p w:rsidR="00FE2F7C" w:rsidRDefault="00C70DB6">
      <w:pPr>
        <w:ind w:left="851" w:hanging="851"/>
      </w:pPr>
      <w:r w:rsidRPr="00C70DB6">
        <w:t>Essentially, Norfolk Pension Fund Committee recommended that:</w:t>
      </w:r>
    </w:p>
    <w:p w:rsidR="00C70DB6" w:rsidRPr="00C70DB6" w:rsidRDefault="00C70DB6" w:rsidP="00C70DB6">
      <w:pPr>
        <w:autoSpaceDE w:val="0"/>
        <w:autoSpaceDN w:val="0"/>
        <w:adjustRightInd w:val="0"/>
        <w:rPr>
          <w:rFonts w:cs="Arial"/>
          <w:szCs w:val="24"/>
        </w:rPr>
      </w:pPr>
    </w:p>
    <w:p w:rsidR="00C70DB6" w:rsidRPr="00AD7A7F" w:rsidRDefault="00C70DB6" w:rsidP="00C70DB6">
      <w:pPr>
        <w:pStyle w:val="ListParagraph"/>
        <w:numPr>
          <w:ilvl w:val="0"/>
          <w:numId w:val="12"/>
        </w:numPr>
        <w:autoSpaceDE w:val="0"/>
        <w:autoSpaceDN w:val="0"/>
        <w:adjustRightInd w:val="0"/>
        <w:rPr>
          <w:rFonts w:cs="Arial"/>
          <w:i/>
          <w:szCs w:val="24"/>
        </w:rPr>
      </w:pPr>
      <w:r w:rsidRPr="00AD7A7F">
        <w:rPr>
          <w:rFonts w:cs="Arial"/>
          <w:i/>
          <w:szCs w:val="24"/>
        </w:rPr>
        <w:t>In light of the new local authority responsibilities for Public Health from April 2013, this Committee informs the Department for Communities and Local Government (as Regulator of the LGPS) of its consideration of this matter and the potential complexities and conflicts of interest for local authorities between their public health responsibilities and investments by LGPS Funds in the tobacco sector.</w:t>
      </w:r>
    </w:p>
    <w:p w:rsidR="00C70DB6" w:rsidRPr="00AD7A7F" w:rsidRDefault="00C70DB6" w:rsidP="00C70DB6">
      <w:pPr>
        <w:pStyle w:val="ListParagraph"/>
        <w:numPr>
          <w:ilvl w:val="0"/>
          <w:numId w:val="12"/>
        </w:numPr>
        <w:autoSpaceDE w:val="0"/>
        <w:autoSpaceDN w:val="0"/>
        <w:adjustRightInd w:val="0"/>
        <w:rPr>
          <w:rFonts w:cs="Arial"/>
          <w:i/>
          <w:szCs w:val="24"/>
        </w:rPr>
      </w:pPr>
      <w:r w:rsidRPr="00AD7A7F">
        <w:rPr>
          <w:rFonts w:cs="Arial"/>
          <w:i/>
          <w:szCs w:val="24"/>
        </w:rPr>
        <w:t>The Committee monitors the outcome of the proposals within the Kay review of UK Equity Markets and Long-Term Decision Making which suggests further work should be undertaken by the Law Commission into the legal concept of fiduciary duty as applied to investment.</w:t>
      </w:r>
    </w:p>
    <w:p w:rsidR="00C70DB6" w:rsidRPr="00AD7A7F" w:rsidRDefault="00C70DB6" w:rsidP="00C70DB6">
      <w:pPr>
        <w:pStyle w:val="ListParagraph"/>
        <w:numPr>
          <w:ilvl w:val="0"/>
          <w:numId w:val="12"/>
        </w:numPr>
        <w:autoSpaceDE w:val="0"/>
        <w:autoSpaceDN w:val="0"/>
        <w:adjustRightInd w:val="0"/>
        <w:rPr>
          <w:i/>
        </w:rPr>
      </w:pPr>
      <w:r w:rsidRPr="00AD7A7F">
        <w:rPr>
          <w:rFonts w:cs="Arial"/>
          <w:i/>
          <w:szCs w:val="24"/>
        </w:rPr>
        <w:t>The Norfolk Pension Fund maintains its current policy of voting and engagement and does not pursue exclusion of tobacco holdings but that the situation is reviewed when the legal position relating to the exercise of the Committee’s fiduciary duty is clarified.</w:t>
      </w:r>
    </w:p>
    <w:p w:rsidR="00C70DB6" w:rsidRPr="00C70DB6" w:rsidRDefault="00C70DB6" w:rsidP="00CB5C49"/>
    <w:p w:rsidR="00FE2F7C" w:rsidRDefault="001E77F0" w:rsidP="000678C1">
      <w:r>
        <w:t>Subsequently, t</w:t>
      </w:r>
      <w:r w:rsidR="00660E05" w:rsidRPr="00C70DB6">
        <w:t xml:space="preserve">he Law Commission has </w:t>
      </w:r>
      <w:r w:rsidR="00400212">
        <w:t xml:space="preserve">recently </w:t>
      </w:r>
      <w:r w:rsidR="00660E05" w:rsidRPr="00C70DB6">
        <w:t xml:space="preserve">issued </w:t>
      </w:r>
      <w:r w:rsidR="00400212">
        <w:t>its</w:t>
      </w:r>
      <w:r w:rsidR="00660E05" w:rsidRPr="00C70DB6">
        <w:t xml:space="preserve"> consultation paper on fiduciary duty as it applies throughout the investment chain</w:t>
      </w:r>
      <w:r w:rsidR="00C70DB6" w:rsidRPr="00C70DB6">
        <w:t>, with a closing date of 22 January 2014</w:t>
      </w:r>
      <w:r w:rsidR="00660E05" w:rsidRPr="00C70DB6">
        <w:t>. Amongst other things, the paper asks if:</w:t>
      </w:r>
    </w:p>
    <w:p w:rsidR="00660E05" w:rsidRPr="00C70DB6" w:rsidRDefault="00660E05" w:rsidP="00CB5C49"/>
    <w:p w:rsidR="00660E05" w:rsidRPr="00117E91" w:rsidRDefault="00660E05" w:rsidP="00660E05">
      <w:pPr>
        <w:pStyle w:val="ListParagraph"/>
        <w:numPr>
          <w:ilvl w:val="0"/>
          <w:numId w:val="11"/>
        </w:numPr>
        <w:rPr>
          <w:i/>
        </w:rPr>
      </w:pPr>
      <w:r w:rsidRPr="00117E91">
        <w:rPr>
          <w:i/>
        </w:rPr>
        <w:t>The law is right to allow trustees to consider ethical issues only in limited circumstances?</w:t>
      </w:r>
    </w:p>
    <w:p w:rsidR="00660E05" w:rsidRPr="00117E91" w:rsidRDefault="00660E05" w:rsidP="00660E05">
      <w:pPr>
        <w:pStyle w:val="ListParagraph"/>
        <w:numPr>
          <w:ilvl w:val="0"/>
          <w:numId w:val="11"/>
        </w:numPr>
        <w:rPr>
          <w:i/>
        </w:rPr>
      </w:pPr>
      <w:r w:rsidRPr="00117E91">
        <w:rPr>
          <w:i/>
        </w:rPr>
        <w:t>The legal obligations on trustees are conducive to investment strategies in the best interests of the ultimate beneficiaries? And if not, what specifically needs to be changed?</w:t>
      </w:r>
    </w:p>
    <w:p w:rsidR="00660E05" w:rsidRPr="00C70DB6" w:rsidRDefault="00660E05" w:rsidP="00CB5C49"/>
    <w:p w:rsidR="006D5F5D" w:rsidRDefault="001C7D21" w:rsidP="000678C1">
      <w:r>
        <w:t>It is suggested that t</w:t>
      </w:r>
      <w:r w:rsidR="00C63971">
        <w:t>he Fund welcomes the prospect of greater clarity over fiduciary duty that these developments are intended to provide</w:t>
      </w:r>
      <w:r>
        <w:t xml:space="preserve">, and it is proposed </w:t>
      </w:r>
      <w:r w:rsidR="00210767">
        <w:t xml:space="preserve">that </w:t>
      </w:r>
      <w:r w:rsidR="00C70DB6" w:rsidRPr="00C70DB6">
        <w:t xml:space="preserve">Lancashire County Pension Fund </w:t>
      </w:r>
      <w:r w:rsidR="00E056E0" w:rsidRPr="001C7D21">
        <w:rPr>
          <w:rFonts w:cs="Arial"/>
          <w:szCs w:val="24"/>
        </w:rPr>
        <w:t>reviews</w:t>
      </w:r>
      <w:r w:rsidR="00C70DB6" w:rsidRPr="001C7D21">
        <w:rPr>
          <w:rFonts w:cs="Arial"/>
          <w:szCs w:val="24"/>
        </w:rPr>
        <w:t xml:space="preserve"> the </w:t>
      </w:r>
      <w:r w:rsidR="00960A47" w:rsidRPr="001C7D21">
        <w:rPr>
          <w:rFonts w:cs="Arial"/>
          <w:szCs w:val="24"/>
        </w:rPr>
        <w:t xml:space="preserve">position when the outcome of the Law Commission's review of fiduciary duty is published. </w:t>
      </w:r>
    </w:p>
    <w:p w:rsidR="00FE57AF" w:rsidRDefault="00FE57AF">
      <w:pPr>
        <w:pStyle w:val="Heading1"/>
      </w:pPr>
    </w:p>
    <w:p w:rsidR="00084A5E" w:rsidRPr="00084A5E" w:rsidRDefault="00084A5E" w:rsidP="00084A5E"/>
    <w:p w:rsidR="003E6A45" w:rsidRPr="005C5D7F" w:rsidRDefault="003E6A45">
      <w:pPr>
        <w:pStyle w:val="Heading1"/>
      </w:pPr>
      <w:r w:rsidRPr="005C5D7F">
        <w:t>Consultations</w:t>
      </w:r>
    </w:p>
    <w:p w:rsidR="003E6A45" w:rsidRPr="005C5D7F" w:rsidRDefault="003E6A45">
      <w:pPr>
        <w:pStyle w:val="Header"/>
      </w:pPr>
    </w:p>
    <w:p w:rsidR="003E6A45" w:rsidRPr="005C5D7F" w:rsidRDefault="007F36E3">
      <w:r w:rsidRPr="005C5D7F">
        <w:t>N/A</w:t>
      </w:r>
    </w:p>
    <w:p w:rsidR="003E6A45" w:rsidRPr="005C5D7F" w:rsidRDefault="003E6A45"/>
    <w:p w:rsidR="00772BBA" w:rsidRPr="005C5D7F" w:rsidRDefault="003E6A45" w:rsidP="00772BBA">
      <w:r w:rsidRPr="005C5D7F">
        <w:rPr>
          <w:b/>
        </w:rPr>
        <w:t>Implications</w:t>
      </w:r>
      <w:r w:rsidRPr="005C5D7F">
        <w:t xml:space="preserve">: </w:t>
      </w:r>
    </w:p>
    <w:p w:rsidR="00772BBA" w:rsidRPr="005C5D7F" w:rsidRDefault="00772BBA" w:rsidP="00772BBA"/>
    <w:p w:rsidR="00772BBA" w:rsidRPr="005C5D7F" w:rsidRDefault="00E605AA" w:rsidP="00772BBA">
      <w:r w:rsidRPr="005C5D7F">
        <w:t>It is a key component of good governance that t</w:t>
      </w:r>
      <w:r w:rsidR="00972DC6" w:rsidRPr="005C5D7F">
        <w:t xml:space="preserve">he Fund </w:t>
      </w:r>
      <w:r w:rsidRPr="005C5D7F">
        <w:t>is</w:t>
      </w:r>
      <w:r w:rsidR="00972DC6" w:rsidRPr="005C5D7F">
        <w:t xml:space="preserve"> an engaged and responsible investor complying with the Stewardship Code.</w:t>
      </w:r>
    </w:p>
    <w:p w:rsidR="00972DC6" w:rsidRPr="005C5D7F" w:rsidRDefault="00972DC6" w:rsidP="00772BBA"/>
    <w:p w:rsidR="00972DC6" w:rsidRDefault="00972DC6" w:rsidP="00772BBA">
      <w:r w:rsidRPr="005C5D7F">
        <w:t>Well run responsible companies are more likely to be successful and less likely to suffer from unexpected scandals.</w:t>
      </w:r>
    </w:p>
    <w:p w:rsidR="008B3940" w:rsidRDefault="008B3940" w:rsidP="00772BBA"/>
    <w:p w:rsidR="008B3940" w:rsidRPr="005C5D7F" w:rsidRDefault="008B3940" w:rsidP="00772BBA">
      <w:r>
        <w:rPr>
          <w:rFonts w:cs="Arial"/>
          <w:szCs w:val="24"/>
        </w:rPr>
        <w:t>In</w:t>
      </w:r>
      <w:r w:rsidRPr="004032FB">
        <w:rPr>
          <w:rFonts w:eastAsia="Calibri"/>
          <w:szCs w:val="22"/>
          <w:lang w:eastAsia="en-US"/>
        </w:rPr>
        <w:t xml:space="preserve"> order to meet its fiduciary duties, the </w:t>
      </w:r>
      <w:r>
        <w:rPr>
          <w:rFonts w:eastAsia="Calibri"/>
          <w:szCs w:val="22"/>
          <w:lang w:eastAsia="en-US"/>
        </w:rPr>
        <w:t xml:space="preserve">Pension </w:t>
      </w:r>
      <w:r w:rsidRPr="004032FB">
        <w:rPr>
          <w:rFonts w:eastAsia="Calibri"/>
          <w:szCs w:val="22"/>
          <w:lang w:eastAsia="en-US"/>
        </w:rPr>
        <w:t xml:space="preserve">Fund cannot unilaterally decide to divest from an individual investment type without regard to the overall objectives of the Fund, or without taking appropriate professional advice including risk and return </w:t>
      </w:r>
      <w:r w:rsidRPr="004032FB">
        <w:rPr>
          <w:rFonts w:eastAsia="Calibri"/>
          <w:szCs w:val="22"/>
          <w:lang w:eastAsia="en-US"/>
        </w:rPr>
        <w:lastRenderedPageBreak/>
        <w:t>considerations</w:t>
      </w:r>
      <w:r>
        <w:rPr>
          <w:rFonts w:eastAsia="Calibri"/>
          <w:szCs w:val="22"/>
          <w:lang w:eastAsia="en-US"/>
        </w:rPr>
        <w:t>. A decision to exclude particular investments on ethical grounds (and thus affect potential financial return) could be subject to legal challenge.</w:t>
      </w:r>
    </w:p>
    <w:p w:rsidR="009B61F1" w:rsidRPr="005C5D7F" w:rsidRDefault="009B61F1" w:rsidP="00772BBA">
      <w:pPr>
        <w:rPr>
          <w:b/>
        </w:rPr>
      </w:pPr>
    </w:p>
    <w:p w:rsidR="00772BBA" w:rsidRPr="005C5D7F" w:rsidRDefault="00772BBA" w:rsidP="00772BBA">
      <w:pPr>
        <w:rPr>
          <w:b/>
        </w:rPr>
      </w:pPr>
      <w:r w:rsidRPr="005C5D7F">
        <w:rPr>
          <w:b/>
        </w:rPr>
        <w:t>Risk management</w:t>
      </w:r>
    </w:p>
    <w:p w:rsidR="00772BBA" w:rsidRPr="005C5D7F" w:rsidRDefault="00772BBA" w:rsidP="00772BBA"/>
    <w:p w:rsidR="00972DC6" w:rsidRPr="005C5D7F" w:rsidRDefault="00972DC6" w:rsidP="00772BBA">
      <w:r w:rsidRPr="005C5D7F">
        <w:t>The promotion of good responsible corporate governance in the companies the Fund is invested in reduces the risk of unexpected losses arising as a result of poor over-sight and lack of independence.</w:t>
      </w:r>
    </w:p>
    <w:p w:rsidR="00972DC6" w:rsidRPr="005C5D7F" w:rsidRDefault="00972DC6" w:rsidP="00772BBA"/>
    <w:p w:rsidR="00683CFE" w:rsidRPr="005C5D7F" w:rsidRDefault="00683CFE" w:rsidP="00772BBA">
      <w:r w:rsidRPr="005C5D7F">
        <w:t>Involvement in a non-US class action may result in losses incurred being recovered for the Fund, but should a case be lost then the Fund may incur related costs which may not be known with certainty at the time of filing.</w:t>
      </w:r>
      <w:r w:rsidR="00096680" w:rsidRPr="005C5D7F">
        <w:t xml:space="preserve"> Applying for lead plaintiff status in the US may incur significant officer time and resources in bring a potential case to fruition.</w:t>
      </w:r>
    </w:p>
    <w:p w:rsidR="003E6A45" w:rsidRDefault="003E6A45">
      <w:pPr>
        <w:pStyle w:val="Heading5"/>
        <w:rPr>
          <w:rFonts w:ascii="Arial" w:hAnsi="Arial"/>
        </w:rPr>
      </w:pPr>
    </w:p>
    <w:p w:rsidR="003E6A45" w:rsidRPr="005C5D7F" w:rsidRDefault="003E6A45">
      <w:pPr>
        <w:pStyle w:val="Heading5"/>
        <w:rPr>
          <w:rFonts w:ascii="Arial" w:hAnsi="Arial"/>
          <w:u w:val="none"/>
        </w:rPr>
      </w:pPr>
      <w:r w:rsidRPr="005C5D7F">
        <w:rPr>
          <w:rFonts w:ascii="Arial" w:hAnsi="Arial"/>
          <w:u w:val="none"/>
        </w:rPr>
        <w:t>Local Government (Access to Information) Act 1985</w:t>
      </w:r>
    </w:p>
    <w:p w:rsidR="003E6A45" w:rsidRPr="005C5D7F" w:rsidRDefault="003E6A45">
      <w:pPr>
        <w:pStyle w:val="Heading5"/>
        <w:rPr>
          <w:rFonts w:ascii="Arial" w:hAnsi="Arial"/>
          <w:u w:val="none"/>
        </w:rPr>
      </w:pPr>
      <w:r w:rsidRPr="005C5D7F">
        <w:rPr>
          <w:rFonts w:ascii="Arial" w:hAnsi="Arial"/>
          <w:u w:val="none"/>
        </w:rPr>
        <w:t>List of Background Papers</w:t>
      </w:r>
    </w:p>
    <w:p w:rsidR="003E6A45" w:rsidRPr="005C5D7F" w:rsidRDefault="003E6A45"/>
    <w:tbl>
      <w:tblPr>
        <w:tblW w:w="0" w:type="auto"/>
        <w:tblLayout w:type="fixed"/>
        <w:tblLook w:val="000C"/>
      </w:tblPr>
      <w:tblGrid>
        <w:gridCol w:w="3227"/>
        <w:gridCol w:w="2775"/>
        <w:gridCol w:w="3178"/>
      </w:tblGrid>
      <w:tr w:rsidR="003E6A45" w:rsidRPr="005C5D7F">
        <w:tc>
          <w:tcPr>
            <w:tcW w:w="3227" w:type="dxa"/>
          </w:tcPr>
          <w:p w:rsidR="003E6A45" w:rsidRPr="005C5D7F" w:rsidRDefault="00972DC6">
            <w:pPr>
              <w:pStyle w:val="Heading7"/>
              <w:rPr>
                <w:rFonts w:ascii="Arial" w:hAnsi="Arial"/>
                <w:u w:val="none"/>
              </w:rPr>
            </w:pPr>
            <w:r w:rsidRPr="005C5D7F">
              <w:rPr>
                <w:rFonts w:ascii="Arial" w:hAnsi="Arial"/>
                <w:u w:val="none"/>
              </w:rPr>
              <w:t>N/a</w:t>
            </w:r>
          </w:p>
        </w:tc>
        <w:tc>
          <w:tcPr>
            <w:tcW w:w="2775" w:type="dxa"/>
          </w:tcPr>
          <w:p w:rsidR="003E6A45" w:rsidRPr="005C5D7F" w:rsidRDefault="003E6A45">
            <w:pPr>
              <w:pStyle w:val="Heading7"/>
              <w:rPr>
                <w:rFonts w:ascii="Arial" w:hAnsi="Arial"/>
                <w:u w:val="none"/>
              </w:rPr>
            </w:pPr>
          </w:p>
        </w:tc>
        <w:tc>
          <w:tcPr>
            <w:tcW w:w="3178" w:type="dxa"/>
          </w:tcPr>
          <w:p w:rsidR="003E6A45" w:rsidRPr="005C5D7F" w:rsidRDefault="003E6A45">
            <w:pPr>
              <w:pStyle w:val="Heading7"/>
              <w:rPr>
                <w:rFonts w:ascii="Arial" w:hAnsi="Arial"/>
                <w:u w:val="none"/>
              </w:rPr>
            </w:pPr>
          </w:p>
        </w:tc>
      </w:tr>
      <w:tr w:rsidR="003E6A45" w:rsidRPr="005C5D7F">
        <w:tc>
          <w:tcPr>
            <w:tcW w:w="3227" w:type="dxa"/>
          </w:tcPr>
          <w:p w:rsidR="007F36E3" w:rsidRPr="005C5D7F" w:rsidRDefault="007F36E3"/>
        </w:tc>
        <w:tc>
          <w:tcPr>
            <w:tcW w:w="2775" w:type="dxa"/>
          </w:tcPr>
          <w:p w:rsidR="003E6A45" w:rsidRPr="005C5D7F" w:rsidRDefault="003E6A45"/>
        </w:tc>
        <w:tc>
          <w:tcPr>
            <w:tcW w:w="3178" w:type="dxa"/>
          </w:tcPr>
          <w:p w:rsidR="003E6A45" w:rsidRPr="005C5D7F" w:rsidRDefault="003E6A45"/>
        </w:tc>
      </w:tr>
      <w:tr w:rsidR="003E6292" w:rsidRPr="005342D5">
        <w:tc>
          <w:tcPr>
            <w:tcW w:w="3227" w:type="dxa"/>
          </w:tcPr>
          <w:p w:rsidR="003E6292" w:rsidRPr="005342D5" w:rsidRDefault="003E6292">
            <w:pPr>
              <w:pStyle w:val="Heading7"/>
              <w:rPr>
                <w:rFonts w:ascii="Arial" w:hAnsi="Arial"/>
                <w:u w:val="none"/>
              </w:rPr>
            </w:pPr>
          </w:p>
        </w:tc>
        <w:tc>
          <w:tcPr>
            <w:tcW w:w="2775" w:type="dxa"/>
          </w:tcPr>
          <w:p w:rsidR="003E6292" w:rsidRPr="005342D5" w:rsidRDefault="003E6292">
            <w:pPr>
              <w:pStyle w:val="Heading7"/>
              <w:rPr>
                <w:rFonts w:ascii="Arial" w:hAnsi="Arial"/>
                <w:u w:val="none"/>
              </w:rPr>
            </w:pPr>
          </w:p>
        </w:tc>
        <w:tc>
          <w:tcPr>
            <w:tcW w:w="3178" w:type="dxa"/>
          </w:tcPr>
          <w:p w:rsidR="003E6292" w:rsidRPr="005342D5" w:rsidRDefault="003E6292"/>
        </w:tc>
      </w:tr>
      <w:tr w:rsidR="003E6A45" w:rsidRPr="005342D5">
        <w:tc>
          <w:tcPr>
            <w:tcW w:w="9180" w:type="dxa"/>
            <w:gridSpan w:val="3"/>
          </w:tcPr>
          <w:p w:rsidR="003E6A45" w:rsidRPr="005342D5" w:rsidRDefault="003E6A45" w:rsidP="003E6292"/>
        </w:tc>
      </w:tr>
    </w:tbl>
    <w:p w:rsidR="003E6A45" w:rsidRPr="005342D5" w:rsidRDefault="003E6A45" w:rsidP="00A62655"/>
    <w:sectPr w:rsidR="003E6A45" w:rsidRPr="005342D5" w:rsidSect="00C82111">
      <w:footerReference w:type="default" r:id="rId10"/>
      <w:footerReference w:type="first" r:id="rId11"/>
      <w:pgSz w:w="11907" w:h="16840" w:code="9"/>
      <w:pgMar w:top="1134" w:right="1440" w:bottom="1276"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5D" w:rsidRDefault="006D5F5D">
      <w:r>
        <w:separator/>
      </w:r>
    </w:p>
  </w:endnote>
  <w:endnote w:type="continuationSeparator" w:id="0">
    <w:p w:rsidR="006D5F5D" w:rsidRDefault="006D5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D5F5D">
      <w:tc>
        <w:tcPr>
          <w:tcW w:w="9243" w:type="dxa"/>
          <w:tcBorders>
            <w:top w:val="nil"/>
            <w:left w:val="nil"/>
            <w:bottom w:val="nil"/>
            <w:right w:val="nil"/>
          </w:tcBorders>
        </w:tcPr>
        <w:p w:rsidR="006D5F5D" w:rsidRDefault="006D5F5D">
          <w:pPr>
            <w:pStyle w:val="Footer"/>
            <w:tabs>
              <w:tab w:val="clear" w:pos="4153"/>
            </w:tabs>
            <w:ind w:right="-45"/>
            <w:jc w:val="right"/>
          </w:pPr>
        </w:p>
      </w:tc>
    </w:tr>
  </w:tbl>
  <w:p w:rsidR="006D5F5D" w:rsidRDefault="006D5F5D">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D5F5D">
      <w:tc>
        <w:tcPr>
          <w:tcW w:w="9243" w:type="dxa"/>
          <w:tcBorders>
            <w:top w:val="nil"/>
            <w:left w:val="nil"/>
            <w:bottom w:val="nil"/>
            <w:right w:val="nil"/>
          </w:tcBorders>
        </w:tcPr>
        <w:p w:rsidR="006D5F5D" w:rsidRDefault="006D5F5D">
          <w:pPr>
            <w:pStyle w:val="Footer"/>
            <w:tabs>
              <w:tab w:val="clear" w:pos="4153"/>
            </w:tabs>
            <w:ind w:right="-45"/>
            <w:jc w:val="right"/>
          </w:pPr>
          <w:r>
            <w:rPr>
              <w:noProof/>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6D5F5D" w:rsidRDefault="006D5F5D">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5D" w:rsidRDefault="006D5F5D">
      <w:r>
        <w:separator/>
      </w:r>
    </w:p>
  </w:footnote>
  <w:footnote w:type="continuationSeparator" w:id="0">
    <w:p w:rsidR="006D5F5D" w:rsidRDefault="006D5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33FA9"/>
    <w:multiLevelType w:val="hybridMultilevel"/>
    <w:tmpl w:val="140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92B7B"/>
    <w:multiLevelType w:val="hybridMultilevel"/>
    <w:tmpl w:val="84BED1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2E8B4E8D"/>
    <w:multiLevelType w:val="hybridMultilevel"/>
    <w:tmpl w:val="8342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06C04"/>
    <w:multiLevelType w:val="hybridMultilevel"/>
    <w:tmpl w:val="60CCDB7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A12677"/>
    <w:multiLevelType w:val="hybridMultilevel"/>
    <w:tmpl w:val="8152C7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F06294"/>
    <w:multiLevelType w:val="hybridMultilevel"/>
    <w:tmpl w:val="2E14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2B28B5"/>
    <w:multiLevelType w:val="multilevel"/>
    <w:tmpl w:val="D7A2FD42"/>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3">
    <w:nsid w:val="694829C7"/>
    <w:multiLevelType w:val="hybridMultilevel"/>
    <w:tmpl w:val="6D7A53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401AC3"/>
    <w:multiLevelType w:val="hybridMultilevel"/>
    <w:tmpl w:val="9D1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0"/>
  </w:num>
  <w:num w:numId="6">
    <w:abstractNumId w:val="3"/>
  </w:num>
  <w:num w:numId="7">
    <w:abstractNumId w:val="1"/>
  </w:num>
  <w:num w:numId="8">
    <w:abstractNumId w:val="5"/>
  </w:num>
  <w:num w:numId="9">
    <w:abstractNumId w:val="14"/>
  </w:num>
  <w:num w:numId="10">
    <w:abstractNumId w:val="4"/>
  </w:num>
  <w:num w:numId="11">
    <w:abstractNumId w:val="9"/>
  </w:num>
  <w:num w:numId="12">
    <w:abstractNumId w:val="7"/>
  </w:num>
  <w:num w:numId="13">
    <w:abstractNumId w:val="1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3E6A45"/>
    <w:rsid w:val="00000740"/>
    <w:rsid w:val="000050D0"/>
    <w:rsid w:val="00020EBE"/>
    <w:rsid w:val="00023AB5"/>
    <w:rsid w:val="00044EE7"/>
    <w:rsid w:val="00047C08"/>
    <w:rsid w:val="00047C28"/>
    <w:rsid w:val="000550EA"/>
    <w:rsid w:val="000678C1"/>
    <w:rsid w:val="00084A5E"/>
    <w:rsid w:val="00093D3F"/>
    <w:rsid w:val="00095E2C"/>
    <w:rsid w:val="00096680"/>
    <w:rsid w:val="000A44A3"/>
    <w:rsid w:val="000B5D32"/>
    <w:rsid w:val="000B66C2"/>
    <w:rsid w:val="000C09C8"/>
    <w:rsid w:val="000E2320"/>
    <w:rsid w:val="000F4356"/>
    <w:rsid w:val="00117E91"/>
    <w:rsid w:val="001228D1"/>
    <w:rsid w:val="0013765E"/>
    <w:rsid w:val="00151C2C"/>
    <w:rsid w:val="001613F4"/>
    <w:rsid w:val="0016285E"/>
    <w:rsid w:val="00171D3A"/>
    <w:rsid w:val="001839F3"/>
    <w:rsid w:val="001B0E83"/>
    <w:rsid w:val="001B2FB0"/>
    <w:rsid w:val="001C2F1B"/>
    <w:rsid w:val="001C7D21"/>
    <w:rsid w:val="001D04CF"/>
    <w:rsid w:val="001E5696"/>
    <w:rsid w:val="001E77F0"/>
    <w:rsid w:val="001E7830"/>
    <w:rsid w:val="001F61DF"/>
    <w:rsid w:val="00210767"/>
    <w:rsid w:val="00210EC4"/>
    <w:rsid w:val="002209BB"/>
    <w:rsid w:val="00233F14"/>
    <w:rsid w:val="002376CE"/>
    <w:rsid w:val="00255984"/>
    <w:rsid w:val="00261808"/>
    <w:rsid w:val="002764C8"/>
    <w:rsid w:val="00276FB3"/>
    <w:rsid w:val="002807C3"/>
    <w:rsid w:val="0028461B"/>
    <w:rsid w:val="00284D62"/>
    <w:rsid w:val="0029260A"/>
    <w:rsid w:val="00297E80"/>
    <w:rsid w:val="002A4065"/>
    <w:rsid w:val="002A777E"/>
    <w:rsid w:val="002B11AF"/>
    <w:rsid w:val="002C47F7"/>
    <w:rsid w:val="002D3875"/>
    <w:rsid w:val="002E2938"/>
    <w:rsid w:val="002E7E86"/>
    <w:rsid w:val="002F787A"/>
    <w:rsid w:val="003006AB"/>
    <w:rsid w:val="003103B6"/>
    <w:rsid w:val="00321C1B"/>
    <w:rsid w:val="00335582"/>
    <w:rsid w:val="00346DD5"/>
    <w:rsid w:val="00354CAC"/>
    <w:rsid w:val="00357954"/>
    <w:rsid w:val="0036068E"/>
    <w:rsid w:val="003610B6"/>
    <w:rsid w:val="0039419E"/>
    <w:rsid w:val="003A2BBD"/>
    <w:rsid w:val="003A76CB"/>
    <w:rsid w:val="003A78C7"/>
    <w:rsid w:val="003B4067"/>
    <w:rsid w:val="003C11AF"/>
    <w:rsid w:val="003C5BEE"/>
    <w:rsid w:val="003C658E"/>
    <w:rsid w:val="003E6292"/>
    <w:rsid w:val="003E6A45"/>
    <w:rsid w:val="00400212"/>
    <w:rsid w:val="004003F7"/>
    <w:rsid w:val="0044710C"/>
    <w:rsid w:val="004666F1"/>
    <w:rsid w:val="004718BF"/>
    <w:rsid w:val="00481752"/>
    <w:rsid w:val="00496B40"/>
    <w:rsid w:val="00497FFA"/>
    <w:rsid w:val="004A77F6"/>
    <w:rsid w:val="004C3B78"/>
    <w:rsid w:val="004D4CB5"/>
    <w:rsid w:val="004F2CD8"/>
    <w:rsid w:val="005044D2"/>
    <w:rsid w:val="005342D5"/>
    <w:rsid w:val="00563886"/>
    <w:rsid w:val="00580415"/>
    <w:rsid w:val="00581BB4"/>
    <w:rsid w:val="0058415B"/>
    <w:rsid w:val="005A0869"/>
    <w:rsid w:val="005C5D7F"/>
    <w:rsid w:val="005D7717"/>
    <w:rsid w:val="005E1B1E"/>
    <w:rsid w:val="00602819"/>
    <w:rsid w:val="0060426D"/>
    <w:rsid w:val="00605DB2"/>
    <w:rsid w:val="00621B00"/>
    <w:rsid w:val="0062743C"/>
    <w:rsid w:val="00631898"/>
    <w:rsid w:val="00633F3C"/>
    <w:rsid w:val="00646CF2"/>
    <w:rsid w:val="00660E05"/>
    <w:rsid w:val="00661593"/>
    <w:rsid w:val="00680198"/>
    <w:rsid w:val="00682A7B"/>
    <w:rsid w:val="00683CFE"/>
    <w:rsid w:val="0069034D"/>
    <w:rsid w:val="006905DC"/>
    <w:rsid w:val="0069428A"/>
    <w:rsid w:val="006A309A"/>
    <w:rsid w:val="006A4512"/>
    <w:rsid w:val="006A4642"/>
    <w:rsid w:val="006B48B7"/>
    <w:rsid w:val="006B5ECA"/>
    <w:rsid w:val="006B7D9C"/>
    <w:rsid w:val="006C77D5"/>
    <w:rsid w:val="006D04F0"/>
    <w:rsid w:val="006D5F5D"/>
    <w:rsid w:val="006D64D0"/>
    <w:rsid w:val="006E299D"/>
    <w:rsid w:val="006E5686"/>
    <w:rsid w:val="006F0E79"/>
    <w:rsid w:val="006F2BCB"/>
    <w:rsid w:val="006F338B"/>
    <w:rsid w:val="006F651F"/>
    <w:rsid w:val="00701A0D"/>
    <w:rsid w:val="007044A0"/>
    <w:rsid w:val="00704C83"/>
    <w:rsid w:val="00712C61"/>
    <w:rsid w:val="0071683C"/>
    <w:rsid w:val="00727418"/>
    <w:rsid w:val="00730C81"/>
    <w:rsid w:val="007346E8"/>
    <w:rsid w:val="00747AA5"/>
    <w:rsid w:val="00752A58"/>
    <w:rsid w:val="00757337"/>
    <w:rsid w:val="00765CED"/>
    <w:rsid w:val="00772BBA"/>
    <w:rsid w:val="0077613C"/>
    <w:rsid w:val="007823D2"/>
    <w:rsid w:val="00784F11"/>
    <w:rsid w:val="007A53CF"/>
    <w:rsid w:val="007C7EE2"/>
    <w:rsid w:val="007E2391"/>
    <w:rsid w:val="007E7A9F"/>
    <w:rsid w:val="007F36E3"/>
    <w:rsid w:val="007F5938"/>
    <w:rsid w:val="008209DA"/>
    <w:rsid w:val="00831A0B"/>
    <w:rsid w:val="008330E9"/>
    <w:rsid w:val="00846B02"/>
    <w:rsid w:val="00874897"/>
    <w:rsid w:val="00885460"/>
    <w:rsid w:val="00886AD0"/>
    <w:rsid w:val="0088754E"/>
    <w:rsid w:val="00887F88"/>
    <w:rsid w:val="00896DF9"/>
    <w:rsid w:val="008A5E88"/>
    <w:rsid w:val="008B1C39"/>
    <w:rsid w:val="008B2390"/>
    <w:rsid w:val="008B3940"/>
    <w:rsid w:val="008B53F0"/>
    <w:rsid w:val="008B5CA9"/>
    <w:rsid w:val="008D3B14"/>
    <w:rsid w:val="008E4C5A"/>
    <w:rsid w:val="008E5CB9"/>
    <w:rsid w:val="008F28A6"/>
    <w:rsid w:val="009014A3"/>
    <w:rsid w:val="00917B49"/>
    <w:rsid w:val="0092206B"/>
    <w:rsid w:val="00945925"/>
    <w:rsid w:val="00955006"/>
    <w:rsid w:val="0095583F"/>
    <w:rsid w:val="00960A47"/>
    <w:rsid w:val="00970D34"/>
    <w:rsid w:val="00972DC6"/>
    <w:rsid w:val="0098084A"/>
    <w:rsid w:val="009879CE"/>
    <w:rsid w:val="009938EC"/>
    <w:rsid w:val="009A4C24"/>
    <w:rsid w:val="009B3418"/>
    <w:rsid w:val="009B61F1"/>
    <w:rsid w:val="009C7D8E"/>
    <w:rsid w:val="009D14CC"/>
    <w:rsid w:val="009D7ACC"/>
    <w:rsid w:val="009E46C2"/>
    <w:rsid w:val="009F2C3B"/>
    <w:rsid w:val="009F5F02"/>
    <w:rsid w:val="00A33C6B"/>
    <w:rsid w:val="00A35073"/>
    <w:rsid w:val="00A4384E"/>
    <w:rsid w:val="00A5647C"/>
    <w:rsid w:val="00A57019"/>
    <w:rsid w:val="00A62655"/>
    <w:rsid w:val="00A84AFB"/>
    <w:rsid w:val="00A8695C"/>
    <w:rsid w:val="00AA2A9E"/>
    <w:rsid w:val="00AC7FAD"/>
    <w:rsid w:val="00AD0AC0"/>
    <w:rsid w:val="00AD7A7F"/>
    <w:rsid w:val="00B02D37"/>
    <w:rsid w:val="00B10159"/>
    <w:rsid w:val="00B33BD7"/>
    <w:rsid w:val="00B37829"/>
    <w:rsid w:val="00B50754"/>
    <w:rsid w:val="00B536FC"/>
    <w:rsid w:val="00B53A04"/>
    <w:rsid w:val="00B5487B"/>
    <w:rsid w:val="00B6407F"/>
    <w:rsid w:val="00B67387"/>
    <w:rsid w:val="00B67789"/>
    <w:rsid w:val="00B714F4"/>
    <w:rsid w:val="00B754ED"/>
    <w:rsid w:val="00B80294"/>
    <w:rsid w:val="00BA3998"/>
    <w:rsid w:val="00BA756D"/>
    <w:rsid w:val="00BB08CC"/>
    <w:rsid w:val="00BB4807"/>
    <w:rsid w:val="00BB7BA0"/>
    <w:rsid w:val="00BD0AC4"/>
    <w:rsid w:val="00BD27F1"/>
    <w:rsid w:val="00BD3AAB"/>
    <w:rsid w:val="00BE189C"/>
    <w:rsid w:val="00BF2CF3"/>
    <w:rsid w:val="00C04443"/>
    <w:rsid w:val="00C11128"/>
    <w:rsid w:val="00C11974"/>
    <w:rsid w:val="00C128AB"/>
    <w:rsid w:val="00C14B79"/>
    <w:rsid w:val="00C14C22"/>
    <w:rsid w:val="00C14C4E"/>
    <w:rsid w:val="00C20DC0"/>
    <w:rsid w:val="00C223C3"/>
    <w:rsid w:val="00C2594F"/>
    <w:rsid w:val="00C31B96"/>
    <w:rsid w:val="00C31F4B"/>
    <w:rsid w:val="00C34000"/>
    <w:rsid w:val="00C37825"/>
    <w:rsid w:val="00C413B0"/>
    <w:rsid w:val="00C418E0"/>
    <w:rsid w:val="00C446A2"/>
    <w:rsid w:val="00C510ED"/>
    <w:rsid w:val="00C57A84"/>
    <w:rsid w:val="00C63971"/>
    <w:rsid w:val="00C66E96"/>
    <w:rsid w:val="00C70DB6"/>
    <w:rsid w:val="00C74ABC"/>
    <w:rsid w:val="00C82111"/>
    <w:rsid w:val="00C85D7C"/>
    <w:rsid w:val="00C9157B"/>
    <w:rsid w:val="00CB5C49"/>
    <w:rsid w:val="00CC3BD2"/>
    <w:rsid w:val="00CD122E"/>
    <w:rsid w:val="00CD5239"/>
    <w:rsid w:val="00D23EEE"/>
    <w:rsid w:val="00D37BDD"/>
    <w:rsid w:val="00D40C4D"/>
    <w:rsid w:val="00D8045F"/>
    <w:rsid w:val="00DA2A86"/>
    <w:rsid w:val="00DA4EB1"/>
    <w:rsid w:val="00DB147E"/>
    <w:rsid w:val="00DB2EDD"/>
    <w:rsid w:val="00DB45D8"/>
    <w:rsid w:val="00DC5ED8"/>
    <w:rsid w:val="00DE2FD1"/>
    <w:rsid w:val="00DE3C21"/>
    <w:rsid w:val="00E056E0"/>
    <w:rsid w:val="00E119CA"/>
    <w:rsid w:val="00E17A91"/>
    <w:rsid w:val="00E2393F"/>
    <w:rsid w:val="00E2768C"/>
    <w:rsid w:val="00E30BBD"/>
    <w:rsid w:val="00E3433F"/>
    <w:rsid w:val="00E449BA"/>
    <w:rsid w:val="00E605AA"/>
    <w:rsid w:val="00E871D3"/>
    <w:rsid w:val="00E91CC1"/>
    <w:rsid w:val="00E92486"/>
    <w:rsid w:val="00E93D16"/>
    <w:rsid w:val="00EA0A2B"/>
    <w:rsid w:val="00EA45E5"/>
    <w:rsid w:val="00EB067F"/>
    <w:rsid w:val="00ED47F0"/>
    <w:rsid w:val="00EE5421"/>
    <w:rsid w:val="00EF02E8"/>
    <w:rsid w:val="00EF3195"/>
    <w:rsid w:val="00EF49F8"/>
    <w:rsid w:val="00F0006F"/>
    <w:rsid w:val="00F134C5"/>
    <w:rsid w:val="00F14539"/>
    <w:rsid w:val="00F17F22"/>
    <w:rsid w:val="00F24FB0"/>
    <w:rsid w:val="00F319A1"/>
    <w:rsid w:val="00F469CD"/>
    <w:rsid w:val="00F61087"/>
    <w:rsid w:val="00F73415"/>
    <w:rsid w:val="00F82283"/>
    <w:rsid w:val="00F915F7"/>
    <w:rsid w:val="00F917B3"/>
    <w:rsid w:val="00FA34CE"/>
    <w:rsid w:val="00FA42DC"/>
    <w:rsid w:val="00FB07E9"/>
    <w:rsid w:val="00FB4E86"/>
    <w:rsid w:val="00FB5FFD"/>
    <w:rsid w:val="00FC0477"/>
    <w:rsid w:val="00FD021D"/>
    <w:rsid w:val="00FD56DE"/>
    <w:rsid w:val="00FD7999"/>
    <w:rsid w:val="00FE20D8"/>
    <w:rsid w:val="00FE2D49"/>
    <w:rsid w:val="00FE2F7C"/>
    <w:rsid w:val="00FE57AF"/>
    <w:rsid w:val="00FF19AB"/>
    <w:rsid w:val="00FF3A87"/>
    <w:rsid w:val="00FF6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CB5C49"/>
    <w:pPr>
      <w:spacing w:after="120" w:line="480" w:lineRule="auto"/>
      <w:ind w:left="283"/>
    </w:pPr>
  </w:style>
  <w:style w:type="character" w:customStyle="1" w:styleId="BodyTextIndent2Char">
    <w:name w:val="Body Text Indent 2 Char"/>
    <w:basedOn w:val="DefaultParagraphFont"/>
    <w:link w:val="BodyTextIndent2"/>
    <w:uiPriority w:val="99"/>
    <w:semiHidden/>
    <w:rsid w:val="00CB5C49"/>
    <w:rPr>
      <w:rFonts w:ascii="Arial" w:hAnsi="Arial"/>
      <w:sz w:val="24"/>
    </w:rPr>
  </w:style>
  <w:style w:type="character" w:customStyle="1" w:styleId="ej">
    <w:name w:val="ej"/>
    <w:basedOn w:val="DefaultParagraphFont"/>
    <w:rsid w:val="00047C28"/>
  </w:style>
  <w:style w:type="character" w:styleId="Hyperlink">
    <w:name w:val="Hyperlink"/>
    <w:basedOn w:val="DefaultParagraphFont"/>
    <w:uiPriority w:val="99"/>
    <w:unhideWhenUsed/>
    <w:rsid w:val="00A57019"/>
    <w:rPr>
      <w:color w:val="0000FF" w:themeColor="hyperlink"/>
      <w:u w:val="single"/>
    </w:rPr>
  </w:style>
  <w:style w:type="character" w:styleId="FollowedHyperlink">
    <w:name w:val="FollowedHyperlink"/>
    <w:basedOn w:val="DefaultParagraphFont"/>
    <w:uiPriority w:val="99"/>
    <w:semiHidden/>
    <w:unhideWhenUsed/>
    <w:rsid w:val="00A570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 w:id="881748565">
      <w:bodyDiv w:val="1"/>
      <w:marLeft w:val="0"/>
      <w:marRight w:val="0"/>
      <w:marTop w:val="0"/>
      <w:marBottom w:val="0"/>
      <w:divBdr>
        <w:top w:val="none" w:sz="0" w:space="0" w:color="auto"/>
        <w:left w:val="none" w:sz="0" w:space="0" w:color="auto"/>
        <w:bottom w:val="none" w:sz="0" w:space="0" w:color="auto"/>
        <w:right w:val="none" w:sz="0" w:space="0" w:color="auto"/>
      </w:divBdr>
    </w:div>
    <w:div w:id="17388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view/pensions250912item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folk.gov.uk/download/pensions250912min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63EE-4ABF-4B8F-94E3-AF3F3969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3</TotalTime>
  <Pages>7</Pages>
  <Words>2622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2</cp:revision>
  <cp:lastPrinted>2012-07-13T16:20:00Z</cp:lastPrinted>
  <dcterms:created xsi:type="dcterms:W3CDTF">2013-11-18T09:30:00Z</dcterms:created>
  <dcterms:modified xsi:type="dcterms:W3CDTF">2013-11-18T09:30:00Z</dcterms:modified>
</cp:coreProperties>
</file>